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08" w:rsidRPr="00E13447" w:rsidRDefault="00D56508">
      <w:pPr>
        <w:widowControl/>
        <w:autoSpaceDE w:val="0"/>
        <w:autoSpaceDN w:val="0"/>
        <w:spacing w:line="440" w:lineRule="atLeast"/>
        <w:ind w:firstLineChars="200" w:firstLine="602"/>
        <w:jc w:val="center"/>
        <w:textAlignment w:val="bottom"/>
        <w:rPr>
          <w:rFonts w:ascii="Times New Roman" w:hAnsi="Times New Roman" w:cs="Times New Roman"/>
          <w:b/>
          <w:color w:val="000000" w:themeColor="text1"/>
          <w:sz w:val="30"/>
        </w:rPr>
      </w:pPr>
    </w:p>
    <w:p w:rsidR="00D56508" w:rsidRPr="00E13447" w:rsidRDefault="00D56508">
      <w:pPr>
        <w:pStyle w:val="a1"/>
        <w:rPr>
          <w:b/>
          <w:color w:val="000000" w:themeColor="text1"/>
          <w:sz w:val="30"/>
        </w:rPr>
      </w:pPr>
    </w:p>
    <w:p w:rsidR="00D56508" w:rsidRPr="00E13447" w:rsidRDefault="00D56508">
      <w:pPr>
        <w:pStyle w:val="a1"/>
        <w:rPr>
          <w:b/>
          <w:color w:val="000000" w:themeColor="text1"/>
          <w:sz w:val="30"/>
        </w:rPr>
      </w:pPr>
    </w:p>
    <w:p w:rsidR="00D56508" w:rsidRPr="00E13447" w:rsidRDefault="00D56508">
      <w:pPr>
        <w:pStyle w:val="a1"/>
        <w:rPr>
          <w:b/>
          <w:color w:val="000000" w:themeColor="text1"/>
          <w:sz w:val="30"/>
        </w:rPr>
      </w:pPr>
      <w:bookmarkStart w:id="0" w:name="_GoBack"/>
      <w:bookmarkEnd w:id="0"/>
    </w:p>
    <w:p w:rsidR="00D56508" w:rsidRPr="00E13447" w:rsidRDefault="00D56508">
      <w:pPr>
        <w:pStyle w:val="a1"/>
        <w:rPr>
          <w:b/>
          <w:color w:val="000000" w:themeColor="text1"/>
          <w:sz w:val="30"/>
        </w:rPr>
      </w:pPr>
    </w:p>
    <w:p w:rsidR="00D56508" w:rsidRPr="00A214B0" w:rsidRDefault="00F1265B">
      <w:pPr>
        <w:jc w:val="center"/>
        <w:rPr>
          <w:rFonts w:ascii="Times New Roman" w:hAnsi="Times New Roman" w:cs="Times New Roman"/>
          <w:b/>
          <w:color w:val="000000" w:themeColor="text1"/>
          <w:sz w:val="36"/>
          <w:szCs w:val="36"/>
        </w:rPr>
      </w:pPr>
      <w:r w:rsidRPr="00A214B0">
        <w:rPr>
          <w:rFonts w:ascii="Times New Roman" w:hAnsi="Times New Roman" w:cs="Times New Roman"/>
          <w:b/>
          <w:color w:val="000000" w:themeColor="text1"/>
          <w:sz w:val="36"/>
          <w:szCs w:val="36"/>
        </w:rPr>
        <w:t>江苏省海外企业集团有限公司拟收购</w:t>
      </w:r>
    </w:p>
    <w:p w:rsidR="00D56508" w:rsidRPr="00A214B0" w:rsidRDefault="00F1265B">
      <w:pPr>
        <w:jc w:val="center"/>
        <w:rPr>
          <w:rFonts w:ascii="Times New Roman" w:hAnsi="Times New Roman" w:cs="Times New Roman"/>
          <w:b/>
          <w:color w:val="000000" w:themeColor="text1"/>
          <w:sz w:val="36"/>
          <w:szCs w:val="36"/>
        </w:rPr>
      </w:pPr>
      <w:r w:rsidRPr="00A214B0">
        <w:rPr>
          <w:rFonts w:ascii="Times New Roman" w:hAnsi="Times New Roman" w:cs="Times New Roman"/>
          <w:b/>
          <w:color w:val="000000" w:themeColor="text1"/>
          <w:sz w:val="36"/>
          <w:szCs w:val="36"/>
        </w:rPr>
        <w:t>泰州市德源投资管理有限公司持有的</w:t>
      </w:r>
    </w:p>
    <w:p w:rsidR="00D56508" w:rsidRPr="00A214B0" w:rsidRDefault="00F1265B">
      <w:pPr>
        <w:jc w:val="center"/>
        <w:rPr>
          <w:rFonts w:ascii="Times New Roman" w:hAnsi="Times New Roman" w:cs="Times New Roman"/>
          <w:b/>
          <w:color w:val="000000" w:themeColor="text1"/>
          <w:sz w:val="36"/>
          <w:szCs w:val="36"/>
        </w:rPr>
      </w:pPr>
      <w:r w:rsidRPr="00A214B0">
        <w:rPr>
          <w:rFonts w:ascii="Times New Roman" w:hAnsi="Times New Roman" w:cs="Times New Roman"/>
          <w:b/>
          <w:color w:val="000000" w:themeColor="text1"/>
          <w:sz w:val="36"/>
          <w:szCs w:val="36"/>
        </w:rPr>
        <w:t>江苏海企化工仓储股份有限公司</w:t>
      </w:r>
    </w:p>
    <w:p w:rsidR="00D56508" w:rsidRPr="00A214B0" w:rsidRDefault="00F1265B">
      <w:pPr>
        <w:jc w:val="center"/>
        <w:rPr>
          <w:rFonts w:ascii="Times New Roman" w:hAnsi="Times New Roman" w:cs="Times New Roman"/>
          <w:b/>
          <w:color w:val="000000" w:themeColor="text1"/>
          <w:sz w:val="36"/>
          <w:szCs w:val="36"/>
        </w:rPr>
      </w:pPr>
      <w:r w:rsidRPr="00A214B0">
        <w:rPr>
          <w:rFonts w:ascii="Times New Roman" w:hAnsi="Times New Roman" w:cs="Times New Roman"/>
          <w:b/>
          <w:color w:val="000000" w:themeColor="text1"/>
          <w:sz w:val="36"/>
          <w:szCs w:val="36"/>
        </w:rPr>
        <w:t>3.0425%</w:t>
      </w:r>
      <w:r w:rsidRPr="00A214B0">
        <w:rPr>
          <w:rFonts w:ascii="Times New Roman" w:hAnsi="Times New Roman" w:cs="Times New Roman"/>
          <w:b/>
          <w:color w:val="000000" w:themeColor="text1"/>
          <w:sz w:val="36"/>
          <w:szCs w:val="36"/>
        </w:rPr>
        <w:t>股权项目</w:t>
      </w:r>
    </w:p>
    <w:p w:rsidR="00D56508" w:rsidRPr="00A214B0" w:rsidRDefault="00F1265B">
      <w:pPr>
        <w:widowControl/>
        <w:autoSpaceDE w:val="0"/>
        <w:autoSpaceDN w:val="0"/>
        <w:jc w:val="center"/>
        <w:textAlignment w:val="bottom"/>
        <w:rPr>
          <w:rFonts w:ascii="Times New Roman" w:hAnsi="Times New Roman" w:cs="Times New Roman"/>
          <w:b/>
          <w:color w:val="000000" w:themeColor="text1"/>
          <w:kern w:val="0"/>
          <w:sz w:val="44"/>
        </w:rPr>
      </w:pPr>
      <w:r w:rsidRPr="00A214B0">
        <w:rPr>
          <w:rFonts w:ascii="Times New Roman" w:hAnsi="Times New Roman" w:cs="Times New Roman"/>
          <w:b/>
          <w:color w:val="000000" w:themeColor="text1"/>
          <w:kern w:val="0"/>
          <w:sz w:val="44"/>
        </w:rPr>
        <w:t>资产评估</w:t>
      </w:r>
      <w:r w:rsidRPr="00A214B0">
        <w:rPr>
          <w:rFonts w:ascii="Times New Roman" w:hAnsi="Times New Roman" w:cs="Times New Roman" w:hint="eastAsia"/>
          <w:b/>
          <w:color w:val="000000" w:themeColor="text1"/>
          <w:kern w:val="0"/>
          <w:sz w:val="44"/>
        </w:rPr>
        <w:t>说明</w:t>
      </w:r>
    </w:p>
    <w:p w:rsidR="00D56508" w:rsidRPr="00A214B0" w:rsidRDefault="00F1265B">
      <w:pPr>
        <w:widowControl/>
        <w:autoSpaceDE w:val="0"/>
        <w:autoSpaceDN w:val="0"/>
        <w:jc w:val="center"/>
        <w:textAlignment w:val="bottom"/>
        <w:rPr>
          <w:rFonts w:ascii="Times New Roman" w:hAnsi="Times New Roman" w:cs="Times New Roman"/>
          <w:color w:val="000000" w:themeColor="text1"/>
          <w:sz w:val="28"/>
        </w:rPr>
      </w:pPr>
      <w:r w:rsidRPr="00A214B0">
        <w:rPr>
          <w:rFonts w:ascii="Times New Roman" w:hAnsi="Times New Roman" w:cs="Times New Roman" w:hint="eastAsia"/>
          <w:color w:val="000000" w:themeColor="text1"/>
          <w:sz w:val="28"/>
        </w:rPr>
        <w:t>华亚正信评报字</w:t>
      </w:r>
      <w:r w:rsidRPr="00A214B0">
        <w:rPr>
          <w:rFonts w:ascii="Times New Roman" w:hAnsi="Times New Roman" w:cs="Times New Roman" w:hint="eastAsia"/>
          <w:color w:val="000000" w:themeColor="text1"/>
          <w:sz w:val="28"/>
        </w:rPr>
        <w:t>[2019]</w:t>
      </w:r>
      <w:r w:rsidRPr="00A214B0">
        <w:rPr>
          <w:rFonts w:ascii="Times New Roman" w:hAnsi="Times New Roman" w:cs="Times New Roman" w:hint="eastAsia"/>
          <w:color w:val="000000" w:themeColor="text1"/>
          <w:sz w:val="28"/>
        </w:rPr>
        <w:t>第</w:t>
      </w:r>
      <w:r w:rsidRPr="00A214B0">
        <w:rPr>
          <w:rFonts w:ascii="Times New Roman" w:hAnsi="Times New Roman" w:cs="Times New Roman" w:hint="eastAsia"/>
          <w:color w:val="000000" w:themeColor="text1"/>
          <w:sz w:val="28"/>
        </w:rPr>
        <w:t>A12-0056</w:t>
      </w:r>
      <w:r w:rsidRPr="00A214B0">
        <w:rPr>
          <w:rFonts w:ascii="Times New Roman" w:hAnsi="Times New Roman" w:cs="Times New Roman" w:hint="eastAsia"/>
          <w:color w:val="000000" w:themeColor="text1"/>
          <w:sz w:val="28"/>
        </w:rPr>
        <w:t>号</w:t>
      </w:r>
    </w:p>
    <w:p w:rsidR="00D56508" w:rsidRPr="00A214B0" w:rsidRDefault="00D56508">
      <w:pPr>
        <w:widowControl/>
        <w:autoSpaceDE w:val="0"/>
        <w:autoSpaceDN w:val="0"/>
        <w:jc w:val="center"/>
        <w:textAlignment w:val="bottom"/>
        <w:rPr>
          <w:rFonts w:ascii="Times New Roman" w:hAnsi="Times New Roman" w:cs="Times New Roman"/>
          <w:color w:val="000000" w:themeColor="text1"/>
          <w:sz w:val="28"/>
        </w:rPr>
      </w:pPr>
    </w:p>
    <w:p w:rsidR="00D56508" w:rsidRPr="00A214B0" w:rsidRDefault="00F1265B">
      <w:pPr>
        <w:widowControl/>
        <w:autoSpaceDE w:val="0"/>
        <w:autoSpaceDN w:val="0"/>
        <w:jc w:val="center"/>
        <w:textAlignment w:val="bottom"/>
        <w:rPr>
          <w:rFonts w:ascii="Times New Roman" w:hAnsi="Times New Roman" w:cs="Times New Roman"/>
          <w:b/>
          <w:color w:val="000000" w:themeColor="text1"/>
          <w:sz w:val="36"/>
        </w:rPr>
      </w:pPr>
      <w:r w:rsidRPr="00A214B0">
        <w:rPr>
          <w:rFonts w:ascii="Times New Roman" w:hAnsi="Times New Roman" w:cs="Times New Roman"/>
          <w:bCs/>
          <w:color w:val="000000" w:themeColor="text1"/>
          <w:sz w:val="24"/>
        </w:rPr>
        <w:t>（共</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册，第</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册</w:t>
      </w:r>
      <w:r w:rsidRPr="00A214B0">
        <w:rPr>
          <w:rFonts w:ascii="Times New Roman" w:hAnsi="Times New Roman" w:cs="Times New Roman"/>
          <w:bCs/>
          <w:color w:val="000000" w:themeColor="text1"/>
          <w:sz w:val="24"/>
        </w:rPr>
        <w:t>）</w:t>
      </w: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562"/>
        <w:jc w:val="center"/>
        <w:textAlignment w:val="bottom"/>
        <w:rPr>
          <w:rFonts w:ascii="Times New Roman" w:hAnsi="Times New Roman" w:cs="Times New Roman"/>
          <w:b/>
          <w:i/>
          <w:color w:val="000000" w:themeColor="text1"/>
          <w:sz w:val="28"/>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600" w:lineRule="atLeast"/>
        <w:ind w:firstLineChars="200" w:firstLine="602"/>
        <w:jc w:val="center"/>
        <w:textAlignment w:val="bottom"/>
        <w:rPr>
          <w:rFonts w:ascii="Times New Roman" w:hAnsi="Times New Roman" w:cs="Times New Roman"/>
          <w:b/>
          <w:color w:val="000000" w:themeColor="text1"/>
          <w:sz w:val="30"/>
        </w:rPr>
      </w:pPr>
    </w:p>
    <w:p w:rsidR="00D56508" w:rsidRPr="00A214B0" w:rsidRDefault="00D56508">
      <w:pPr>
        <w:widowControl/>
        <w:autoSpaceDE w:val="0"/>
        <w:autoSpaceDN w:val="0"/>
        <w:spacing w:line="500" w:lineRule="exact"/>
        <w:ind w:firstLineChars="200" w:firstLine="602"/>
        <w:jc w:val="center"/>
        <w:textAlignment w:val="bottom"/>
        <w:rPr>
          <w:rFonts w:ascii="Times New Roman" w:hAnsi="Times New Roman" w:cs="Times New Roman"/>
          <w:b/>
          <w:color w:val="000000" w:themeColor="text1"/>
          <w:sz w:val="30"/>
        </w:rPr>
      </w:pPr>
    </w:p>
    <w:p w:rsidR="00D56508" w:rsidRPr="00A214B0" w:rsidRDefault="00F1265B">
      <w:pPr>
        <w:widowControl/>
        <w:autoSpaceDE w:val="0"/>
        <w:autoSpaceDN w:val="0"/>
        <w:spacing w:line="500" w:lineRule="exact"/>
        <w:jc w:val="center"/>
        <w:textAlignment w:val="bottom"/>
        <w:rPr>
          <w:rFonts w:ascii="Times New Roman" w:hAnsi="Times New Roman" w:cs="Times New Roman"/>
          <w:b/>
          <w:color w:val="000000" w:themeColor="text1"/>
          <w:sz w:val="30"/>
        </w:rPr>
      </w:pPr>
      <w:r w:rsidRPr="00A214B0">
        <w:rPr>
          <w:rFonts w:ascii="Times New Roman" w:hAnsi="Times New Roman" w:cs="Times New Roman"/>
          <w:b/>
          <w:color w:val="000000" w:themeColor="text1"/>
          <w:sz w:val="30"/>
        </w:rPr>
        <w:t>北京华亚正信资产评估有限公司</w:t>
      </w:r>
    </w:p>
    <w:p w:rsidR="00D56508" w:rsidRPr="00A214B0" w:rsidRDefault="00A3003D">
      <w:pPr>
        <w:widowControl/>
        <w:autoSpaceDE w:val="0"/>
        <w:autoSpaceDN w:val="0"/>
        <w:spacing w:line="600" w:lineRule="atLeast"/>
        <w:ind w:firstLineChars="900" w:firstLine="2711"/>
        <w:textAlignment w:val="bottom"/>
        <w:rPr>
          <w:rFonts w:ascii="Times New Roman" w:hAnsi="Times New Roman" w:cs="Times New Roman"/>
          <w:b/>
          <w:color w:val="000000" w:themeColor="text1"/>
          <w:sz w:val="30"/>
        </w:rPr>
        <w:sectPr w:rsidR="00D56508" w:rsidRPr="00A214B0">
          <w:headerReference w:type="default" r:id="rId10"/>
          <w:footerReference w:type="even" r:id="rId11"/>
          <w:pgSz w:w="11906" w:h="16838"/>
          <w:pgMar w:top="1440" w:right="1276" w:bottom="1440" w:left="1797" w:header="851" w:footer="851" w:gutter="0"/>
          <w:cols w:space="720"/>
        </w:sectPr>
      </w:pPr>
      <w:r w:rsidRPr="00A214B0">
        <w:rPr>
          <w:rFonts w:ascii="Times New Roman" w:hAnsi="Times New Roman" w:cs="Times New Roman" w:hint="eastAsia"/>
          <w:b/>
          <w:color w:val="000000" w:themeColor="text1"/>
          <w:sz w:val="30"/>
        </w:rPr>
        <w:t>二〇一九年十月二十二</w:t>
      </w:r>
      <w:r w:rsidR="00F1265B" w:rsidRPr="00A214B0">
        <w:rPr>
          <w:rFonts w:ascii="Times New Roman" w:hAnsi="Times New Roman" w:cs="Times New Roman" w:hint="eastAsia"/>
          <w:b/>
          <w:color w:val="000000" w:themeColor="text1"/>
          <w:sz w:val="30"/>
        </w:rPr>
        <w:t>日</w:t>
      </w:r>
    </w:p>
    <w:p w:rsidR="00D56508" w:rsidRPr="00A214B0" w:rsidRDefault="00F1265B">
      <w:pPr>
        <w:snapToGrid w:val="0"/>
        <w:contextualSpacing/>
        <w:jc w:val="center"/>
        <w:rPr>
          <w:rFonts w:ascii="Times New Roman" w:hAnsi="Times New Roman" w:cs="Times New Roman"/>
          <w:b/>
          <w:color w:val="000000" w:themeColor="text1"/>
          <w:kern w:val="0"/>
          <w:sz w:val="32"/>
          <w:szCs w:val="32"/>
        </w:rPr>
      </w:pPr>
      <w:r w:rsidRPr="00A214B0">
        <w:rPr>
          <w:rFonts w:ascii="Times New Roman" w:hAnsi="Times New Roman" w:cs="Times New Roman"/>
          <w:b/>
          <w:color w:val="000000" w:themeColor="text1"/>
          <w:kern w:val="0"/>
          <w:sz w:val="32"/>
          <w:szCs w:val="32"/>
        </w:rPr>
        <w:lastRenderedPageBreak/>
        <w:t>江苏省海外企业集团有限公司拟收购</w:t>
      </w:r>
    </w:p>
    <w:p w:rsidR="00D56508" w:rsidRPr="00A214B0" w:rsidRDefault="00F1265B">
      <w:pPr>
        <w:snapToGrid w:val="0"/>
        <w:contextualSpacing/>
        <w:jc w:val="center"/>
        <w:rPr>
          <w:rFonts w:ascii="Times New Roman" w:hAnsi="Times New Roman" w:cs="Times New Roman"/>
          <w:b/>
          <w:color w:val="000000" w:themeColor="text1"/>
          <w:kern w:val="0"/>
          <w:sz w:val="32"/>
          <w:szCs w:val="32"/>
        </w:rPr>
      </w:pPr>
      <w:r w:rsidRPr="00A214B0">
        <w:rPr>
          <w:rFonts w:ascii="Times New Roman" w:hAnsi="Times New Roman" w:cs="Times New Roman"/>
          <w:b/>
          <w:color w:val="000000" w:themeColor="text1"/>
          <w:kern w:val="0"/>
          <w:sz w:val="32"/>
          <w:szCs w:val="32"/>
        </w:rPr>
        <w:t>泰州市德源投资管理有限公司持有的</w:t>
      </w:r>
    </w:p>
    <w:p w:rsidR="00D56508" w:rsidRPr="00A214B0" w:rsidRDefault="00F1265B">
      <w:pPr>
        <w:snapToGrid w:val="0"/>
        <w:contextualSpacing/>
        <w:jc w:val="center"/>
        <w:rPr>
          <w:rFonts w:ascii="Times New Roman" w:hAnsi="Times New Roman" w:cs="Times New Roman"/>
          <w:b/>
          <w:color w:val="000000" w:themeColor="text1"/>
          <w:kern w:val="0"/>
          <w:sz w:val="32"/>
          <w:szCs w:val="32"/>
        </w:rPr>
      </w:pPr>
      <w:r w:rsidRPr="00A214B0">
        <w:rPr>
          <w:rFonts w:ascii="Times New Roman" w:hAnsi="Times New Roman" w:cs="Times New Roman"/>
          <w:b/>
          <w:color w:val="000000" w:themeColor="text1"/>
          <w:kern w:val="0"/>
          <w:sz w:val="32"/>
          <w:szCs w:val="32"/>
        </w:rPr>
        <w:t>江苏海企化工仓储股份有限公司</w:t>
      </w:r>
    </w:p>
    <w:p w:rsidR="00D56508" w:rsidRPr="00A214B0" w:rsidRDefault="00F1265B">
      <w:pPr>
        <w:snapToGrid w:val="0"/>
        <w:contextualSpacing/>
        <w:jc w:val="center"/>
        <w:rPr>
          <w:rFonts w:ascii="Times New Roman" w:hAnsi="Times New Roman" w:cs="Times New Roman"/>
          <w:b/>
          <w:color w:val="000000" w:themeColor="text1"/>
          <w:kern w:val="0"/>
          <w:sz w:val="32"/>
          <w:szCs w:val="32"/>
        </w:rPr>
      </w:pPr>
      <w:r w:rsidRPr="00A214B0">
        <w:rPr>
          <w:rFonts w:ascii="Times New Roman" w:hAnsi="Times New Roman" w:cs="Times New Roman"/>
          <w:b/>
          <w:color w:val="000000" w:themeColor="text1"/>
          <w:kern w:val="0"/>
          <w:sz w:val="32"/>
          <w:szCs w:val="32"/>
        </w:rPr>
        <w:t>3.0425%</w:t>
      </w:r>
      <w:r w:rsidRPr="00A214B0">
        <w:rPr>
          <w:rFonts w:ascii="Times New Roman" w:hAnsi="Times New Roman" w:cs="Times New Roman"/>
          <w:b/>
          <w:color w:val="000000" w:themeColor="text1"/>
          <w:kern w:val="0"/>
          <w:sz w:val="32"/>
          <w:szCs w:val="32"/>
        </w:rPr>
        <w:t>股权项目</w:t>
      </w:r>
    </w:p>
    <w:p w:rsidR="00D56508" w:rsidRPr="00A214B0" w:rsidRDefault="00F1265B">
      <w:pPr>
        <w:snapToGrid w:val="0"/>
        <w:contextualSpacing/>
        <w:jc w:val="center"/>
        <w:rPr>
          <w:rFonts w:ascii="Times New Roman" w:hAnsi="Times New Roman" w:cs="Times New Roman"/>
          <w:b/>
          <w:color w:val="000000" w:themeColor="text1"/>
          <w:sz w:val="32"/>
          <w:szCs w:val="32"/>
        </w:rPr>
      </w:pPr>
      <w:r w:rsidRPr="00A214B0">
        <w:rPr>
          <w:rFonts w:ascii="Times New Roman" w:hAnsi="Times New Roman" w:cs="Times New Roman"/>
          <w:b/>
          <w:color w:val="000000" w:themeColor="text1"/>
          <w:sz w:val="32"/>
          <w:szCs w:val="32"/>
        </w:rPr>
        <w:t>资产评估说明</w:t>
      </w:r>
    </w:p>
    <w:p w:rsidR="00D56508" w:rsidRPr="00A214B0" w:rsidRDefault="00F1265B">
      <w:pPr>
        <w:adjustRightInd w:val="0"/>
        <w:snapToGrid w:val="0"/>
        <w:spacing w:before="60" w:after="60" w:line="360" w:lineRule="auto"/>
        <w:jc w:val="center"/>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华亚正信评报字</w:t>
      </w:r>
      <w:r w:rsidRPr="00A214B0">
        <w:rPr>
          <w:rFonts w:ascii="Times New Roman" w:hAnsi="Times New Roman" w:cs="Times New Roman" w:hint="eastAsia"/>
          <w:color w:val="000000" w:themeColor="text1"/>
          <w:sz w:val="24"/>
          <w:szCs w:val="24"/>
        </w:rPr>
        <w:t>[2019]</w:t>
      </w:r>
      <w:r w:rsidRPr="00A214B0">
        <w:rPr>
          <w:rFonts w:ascii="Times New Roman" w:hAnsi="Times New Roman" w:cs="Times New Roman" w:hint="eastAsia"/>
          <w:color w:val="000000" w:themeColor="text1"/>
          <w:sz w:val="24"/>
          <w:szCs w:val="24"/>
        </w:rPr>
        <w:t>第</w:t>
      </w:r>
      <w:r w:rsidRPr="00A214B0">
        <w:rPr>
          <w:rFonts w:ascii="Times New Roman" w:hAnsi="Times New Roman" w:cs="Times New Roman" w:hint="eastAsia"/>
          <w:color w:val="000000" w:themeColor="text1"/>
          <w:sz w:val="24"/>
          <w:szCs w:val="24"/>
        </w:rPr>
        <w:t>A12-0056</w:t>
      </w:r>
      <w:r w:rsidRPr="00A214B0">
        <w:rPr>
          <w:rFonts w:ascii="Times New Roman" w:hAnsi="Times New Roman" w:cs="Times New Roman" w:hint="eastAsia"/>
          <w:color w:val="000000" w:themeColor="text1"/>
          <w:sz w:val="24"/>
          <w:szCs w:val="24"/>
        </w:rPr>
        <w:t>号</w:t>
      </w:r>
    </w:p>
    <w:p w:rsidR="00D56508" w:rsidRPr="00A214B0" w:rsidRDefault="00F1265B">
      <w:pPr>
        <w:adjustRightInd w:val="0"/>
        <w:snapToGrid w:val="0"/>
        <w:spacing w:before="60" w:after="60" w:line="360" w:lineRule="auto"/>
        <w:jc w:val="center"/>
        <w:rPr>
          <w:rFonts w:ascii="Times New Roman" w:eastAsia="黑体" w:hAnsi="Times New Roman" w:cs="Times New Roman"/>
          <w:color w:val="000000" w:themeColor="text1"/>
          <w:sz w:val="36"/>
        </w:rPr>
      </w:pPr>
      <w:r w:rsidRPr="00A214B0">
        <w:rPr>
          <w:rFonts w:ascii="Times New Roman" w:eastAsia="黑体" w:hAnsi="Times New Roman" w:cs="Times New Roman"/>
          <w:color w:val="000000" w:themeColor="text1"/>
          <w:sz w:val="36"/>
        </w:rPr>
        <w:t>目</w:t>
      </w:r>
      <w:r w:rsidRPr="00A214B0">
        <w:rPr>
          <w:rFonts w:ascii="Times New Roman" w:eastAsia="黑体" w:hAnsi="Times New Roman" w:cs="Times New Roman"/>
          <w:color w:val="000000" w:themeColor="text1"/>
          <w:sz w:val="36"/>
        </w:rPr>
        <w:t xml:space="preserve">      </w:t>
      </w:r>
      <w:r w:rsidRPr="00A214B0">
        <w:rPr>
          <w:rFonts w:ascii="Times New Roman" w:eastAsia="黑体" w:hAnsi="Times New Roman" w:cs="Times New Roman"/>
          <w:color w:val="000000" w:themeColor="text1"/>
          <w:sz w:val="36"/>
        </w:rPr>
        <w:t>录</w:t>
      </w:r>
    </w:p>
    <w:p w:rsidR="00D56508" w:rsidRPr="00A214B0" w:rsidRDefault="00F1265B">
      <w:pPr>
        <w:pStyle w:val="10"/>
        <w:tabs>
          <w:tab w:val="right" w:leader="dot" w:pos="8833"/>
        </w:tabs>
        <w:adjustRightInd w:val="0"/>
        <w:snapToGrid w:val="0"/>
        <w:spacing w:line="360" w:lineRule="auto"/>
        <w:rPr>
          <w:color w:val="000000" w:themeColor="text1"/>
          <w:sz w:val="24"/>
          <w:szCs w:val="24"/>
        </w:rPr>
      </w:pPr>
      <w:r w:rsidRPr="00A214B0">
        <w:rPr>
          <w:color w:val="000000" w:themeColor="text1"/>
          <w:sz w:val="24"/>
          <w:szCs w:val="24"/>
        </w:rPr>
        <w:fldChar w:fldCharType="begin"/>
      </w:r>
      <w:r w:rsidRPr="00A214B0">
        <w:rPr>
          <w:rStyle w:val="aff0"/>
          <w:color w:val="000000" w:themeColor="text1"/>
          <w:sz w:val="24"/>
          <w:szCs w:val="24"/>
        </w:rPr>
        <w:instrText xml:space="preserve"> TOC \o "1-3" \h \z \u </w:instrText>
      </w:r>
      <w:r w:rsidRPr="00A214B0">
        <w:rPr>
          <w:color w:val="000000" w:themeColor="text1"/>
          <w:sz w:val="24"/>
          <w:szCs w:val="24"/>
        </w:rPr>
        <w:fldChar w:fldCharType="separate"/>
      </w:r>
      <w:hyperlink w:anchor="_Toc11401" w:history="1">
        <w:r w:rsidRPr="00A214B0">
          <w:rPr>
            <w:color w:val="000000" w:themeColor="text1"/>
            <w:sz w:val="24"/>
            <w:szCs w:val="24"/>
          </w:rPr>
          <w:t>第一部分</w:t>
        </w:r>
        <w:r w:rsidRPr="00A214B0">
          <w:rPr>
            <w:color w:val="000000" w:themeColor="text1"/>
            <w:sz w:val="24"/>
            <w:szCs w:val="24"/>
          </w:rPr>
          <w:t xml:space="preserve"> </w:t>
        </w:r>
        <w:r w:rsidRPr="00A214B0">
          <w:rPr>
            <w:color w:val="000000" w:themeColor="text1"/>
            <w:sz w:val="24"/>
            <w:szCs w:val="24"/>
          </w:rPr>
          <w:t>关于评估说明使用范围的声明</w:t>
        </w:r>
        <w:r w:rsidRPr="00A214B0">
          <w:rPr>
            <w:color w:val="000000" w:themeColor="text1"/>
            <w:sz w:val="24"/>
            <w:szCs w:val="24"/>
          </w:rPr>
          <w:tab/>
        </w:r>
        <w:r w:rsidRPr="00A214B0">
          <w:rPr>
            <w:color w:val="000000" w:themeColor="text1"/>
            <w:sz w:val="24"/>
            <w:szCs w:val="24"/>
          </w:rPr>
          <w:fldChar w:fldCharType="begin"/>
        </w:r>
        <w:r w:rsidRPr="00A214B0">
          <w:rPr>
            <w:color w:val="000000" w:themeColor="text1"/>
            <w:sz w:val="24"/>
            <w:szCs w:val="24"/>
          </w:rPr>
          <w:instrText xml:space="preserve"> PAGEREF _Toc11401 </w:instrText>
        </w:r>
        <w:r w:rsidRPr="00A214B0">
          <w:rPr>
            <w:color w:val="000000" w:themeColor="text1"/>
            <w:sz w:val="24"/>
            <w:szCs w:val="24"/>
          </w:rPr>
          <w:fldChar w:fldCharType="separate"/>
        </w:r>
        <w:r w:rsidRPr="00A214B0">
          <w:rPr>
            <w:color w:val="000000" w:themeColor="text1"/>
            <w:sz w:val="24"/>
            <w:szCs w:val="24"/>
          </w:rPr>
          <w:t>1</w:t>
        </w:r>
        <w:r w:rsidRPr="00A214B0">
          <w:rPr>
            <w:color w:val="000000" w:themeColor="text1"/>
            <w:sz w:val="24"/>
            <w:szCs w:val="24"/>
          </w:rPr>
          <w:fldChar w:fldCharType="end"/>
        </w:r>
      </w:hyperlink>
    </w:p>
    <w:p w:rsidR="00D56508" w:rsidRPr="00A214B0" w:rsidRDefault="003D0F46">
      <w:pPr>
        <w:pStyle w:val="10"/>
        <w:tabs>
          <w:tab w:val="right" w:leader="dot" w:pos="8833"/>
        </w:tabs>
        <w:adjustRightInd w:val="0"/>
        <w:snapToGrid w:val="0"/>
        <w:spacing w:line="360" w:lineRule="auto"/>
        <w:rPr>
          <w:color w:val="000000" w:themeColor="text1"/>
          <w:sz w:val="24"/>
          <w:szCs w:val="24"/>
        </w:rPr>
      </w:pPr>
      <w:hyperlink w:anchor="_Toc7523" w:history="1">
        <w:r w:rsidR="00F1265B" w:rsidRPr="00A214B0">
          <w:rPr>
            <w:color w:val="000000" w:themeColor="text1"/>
            <w:sz w:val="24"/>
            <w:szCs w:val="24"/>
          </w:rPr>
          <w:t>第二部分</w:t>
        </w:r>
        <w:r w:rsidR="00F1265B" w:rsidRPr="00A214B0">
          <w:rPr>
            <w:color w:val="000000" w:themeColor="text1"/>
            <w:sz w:val="24"/>
            <w:szCs w:val="24"/>
          </w:rPr>
          <w:t xml:space="preserve"> </w:t>
        </w:r>
        <w:r w:rsidR="00F1265B" w:rsidRPr="00A214B0">
          <w:rPr>
            <w:color w:val="000000" w:themeColor="text1"/>
            <w:sz w:val="24"/>
            <w:szCs w:val="24"/>
          </w:rPr>
          <w:t>关于进行资产评估有关事项的说明</w:t>
        </w:r>
        <w:r w:rsidR="00F1265B" w:rsidRPr="00A214B0">
          <w:rPr>
            <w:color w:val="000000" w:themeColor="text1"/>
            <w:sz w:val="24"/>
            <w:szCs w:val="24"/>
          </w:rPr>
          <w:tab/>
        </w:r>
        <w:r w:rsidR="00F1265B" w:rsidRPr="00A214B0">
          <w:rPr>
            <w:color w:val="000000" w:themeColor="text1"/>
            <w:sz w:val="24"/>
            <w:szCs w:val="24"/>
          </w:rPr>
          <w:fldChar w:fldCharType="begin"/>
        </w:r>
        <w:r w:rsidR="00F1265B" w:rsidRPr="00A214B0">
          <w:rPr>
            <w:color w:val="000000" w:themeColor="text1"/>
            <w:sz w:val="24"/>
            <w:szCs w:val="24"/>
          </w:rPr>
          <w:instrText xml:space="preserve"> PAGEREF _Toc7523 </w:instrText>
        </w:r>
        <w:r w:rsidR="00F1265B" w:rsidRPr="00A214B0">
          <w:rPr>
            <w:color w:val="000000" w:themeColor="text1"/>
            <w:sz w:val="24"/>
            <w:szCs w:val="24"/>
          </w:rPr>
          <w:fldChar w:fldCharType="separate"/>
        </w:r>
        <w:r w:rsidR="00F1265B" w:rsidRPr="00A214B0">
          <w:rPr>
            <w:color w:val="000000" w:themeColor="text1"/>
            <w:sz w:val="24"/>
            <w:szCs w:val="24"/>
          </w:rPr>
          <w:t>2</w:t>
        </w:r>
        <w:r w:rsidR="00F1265B" w:rsidRPr="00A214B0">
          <w:rPr>
            <w:color w:val="000000" w:themeColor="text1"/>
            <w:sz w:val="24"/>
            <w:szCs w:val="24"/>
          </w:rPr>
          <w:fldChar w:fldCharType="end"/>
        </w:r>
      </w:hyperlink>
    </w:p>
    <w:p w:rsidR="00D56508" w:rsidRPr="00A214B0" w:rsidRDefault="003D0F46">
      <w:pPr>
        <w:pStyle w:val="10"/>
        <w:tabs>
          <w:tab w:val="right" w:leader="dot" w:pos="8833"/>
        </w:tabs>
        <w:adjustRightInd w:val="0"/>
        <w:snapToGrid w:val="0"/>
        <w:spacing w:line="360" w:lineRule="auto"/>
        <w:rPr>
          <w:color w:val="000000" w:themeColor="text1"/>
          <w:sz w:val="24"/>
          <w:szCs w:val="24"/>
        </w:rPr>
      </w:pPr>
      <w:hyperlink w:anchor="_Toc3828" w:history="1">
        <w:r w:rsidR="00F1265B" w:rsidRPr="00A214B0">
          <w:rPr>
            <w:color w:val="000000" w:themeColor="text1"/>
            <w:sz w:val="24"/>
            <w:szCs w:val="24"/>
          </w:rPr>
          <w:t>第三部分</w:t>
        </w:r>
        <w:r w:rsidR="00F1265B" w:rsidRPr="00A214B0">
          <w:rPr>
            <w:color w:val="000000" w:themeColor="text1"/>
            <w:sz w:val="24"/>
            <w:szCs w:val="24"/>
          </w:rPr>
          <w:t xml:space="preserve"> </w:t>
        </w:r>
        <w:r w:rsidR="00F1265B" w:rsidRPr="00A214B0">
          <w:rPr>
            <w:color w:val="000000" w:themeColor="text1"/>
            <w:sz w:val="24"/>
            <w:szCs w:val="24"/>
          </w:rPr>
          <w:t>评估对象与评估范围及资产核实情况说明</w:t>
        </w:r>
        <w:r w:rsidR="00F1265B" w:rsidRPr="00A214B0">
          <w:rPr>
            <w:color w:val="000000" w:themeColor="text1"/>
            <w:sz w:val="24"/>
            <w:szCs w:val="24"/>
          </w:rPr>
          <w:tab/>
        </w:r>
        <w:r w:rsidR="00F1265B" w:rsidRPr="00A214B0">
          <w:rPr>
            <w:color w:val="000000" w:themeColor="text1"/>
            <w:sz w:val="24"/>
            <w:szCs w:val="24"/>
          </w:rPr>
          <w:fldChar w:fldCharType="begin"/>
        </w:r>
        <w:r w:rsidR="00F1265B" w:rsidRPr="00A214B0">
          <w:rPr>
            <w:color w:val="000000" w:themeColor="text1"/>
            <w:sz w:val="24"/>
            <w:szCs w:val="24"/>
          </w:rPr>
          <w:instrText xml:space="preserve"> PAGEREF _Toc3828 </w:instrText>
        </w:r>
        <w:r w:rsidR="00F1265B" w:rsidRPr="00A214B0">
          <w:rPr>
            <w:color w:val="000000" w:themeColor="text1"/>
            <w:sz w:val="24"/>
            <w:szCs w:val="24"/>
          </w:rPr>
          <w:fldChar w:fldCharType="separate"/>
        </w:r>
        <w:r w:rsidR="00F1265B" w:rsidRPr="00A214B0">
          <w:rPr>
            <w:color w:val="000000" w:themeColor="text1"/>
            <w:sz w:val="24"/>
            <w:szCs w:val="24"/>
          </w:rPr>
          <w:t>3</w:t>
        </w:r>
        <w:r w:rsidR="00F1265B" w:rsidRPr="00A214B0">
          <w:rPr>
            <w:color w:val="000000" w:themeColor="text1"/>
            <w:sz w:val="24"/>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1456" w:history="1">
        <w:r w:rsidR="00F1265B" w:rsidRPr="00A214B0">
          <w:rPr>
            <w:color w:val="000000" w:themeColor="text1"/>
            <w:szCs w:val="24"/>
          </w:rPr>
          <w:t>一、评估对象与评估范围说明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_Toc21456 </w:instrText>
        </w:r>
        <w:r w:rsidR="00F1265B" w:rsidRPr="00A214B0">
          <w:rPr>
            <w:color w:val="000000" w:themeColor="text1"/>
            <w:szCs w:val="24"/>
          </w:rPr>
          <w:fldChar w:fldCharType="separate"/>
        </w:r>
        <w:r w:rsidR="00F1265B" w:rsidRPr="00A214B0">
          <w:rPr>
            <w:color w:val="000000" w:themeColor="text1"/>
            <w:szCs w:val="24"/>
          </w:rPr>
          <w:t>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8114" w:history="1">
        <w:r w:rsidR="00F1265B" w:rsidRPr="00A214B0">
          <w:rPr>
            <w:color w:val="000000" w:themeColor="text1"/>
            <w:kern w:val="0"/>
            <w:szCs w:val="24"/>
          </w:rPr>
          <w:t>（一）评估对象与评估范围内容</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_Toc18114 </w:instrText>
        </w:r>
        <w:r w:rsidR="00F1265B" w:rsidRPr="00A214B0">
          <w:rPr>
            <w:color w:val="000000" w:themeColor="text1"/>
            <w:szCs w:val="24"/>
          </w:rPr>
          <w:fldChar w:fldCharType="separate"/>
        </w:r>
        <w:r w:rsidR="00F1265B" w:rsidRPr="00A214B0">
          <w:rPr>
            <w:color w:val="000000" w:themeColor="text1"/>
            <w:szCs w:val="24"/>
          </w:rPr>
          <w:t>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6072" w:history="1">
        <w:r w:rsidR="00F1265B" w:rsidRPr="00A214B0">
          <w:rPr>
            <w:color w:val="000000" w:themeColor="text1"/>
            <w:szCs w:val="24"/>
          </w:rPr>
          <w:t>（二）对企业价值影响较大的实物资产情况。</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_Toc16072 </w:instrText>
        </w:r>
        <w:r w:rsidR="00F1265B" w:rsidRPr="00A214B0">
          <w:rPr>
            <w:color w:val="000000" w:themeColor="text1"/>
            <w:szCs w:val="24"/>
          </w:rPr>
          <w:fldChar w:fldCharType="separate"/>
        </w:r>
        <w:r w:rsidR="00F1265B" w:rsidRPr="00A214B0">
          <w:rPr>
            <w:color w:val="000000" w:themeColor="text1"/>
            <w:szCs w:val="24"/>
          </w:rPr>
          <w:t>4</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9427" w:history="1">
        <w:r w:rsidR="00F1265B" w:rsidRPr="00A214B0">
          <w:rPr>
            <w:color w:val="000000" w:themeColor="text1"/>
            <w:szCs w:val="24"/>
          </w:rPr>
          <w:t>（三）企业申报的账面记录或者未记录的无形资产情况</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_Toc19427 </w:instrText>
        </w:r>
        <w:r w:rsidR="00F1265B" w:rsidRPr="00A214B0">
          <w:rPr>
            <w:color w:val="000000" w:themeColor="text1"/>
            <w:szCs w:val="24"/>
          </w:rPr>
          <w:fldChar w:fldCharType="separate"/>
        </w:r>
        <w:r w:rsidR="00F1265B" w:rsidRPr="00A214B0">
          <w:rPr>
            <w:color w:val="000000" w:themeColor="text1"/>
            <w:szCs w:val="24"/>
          </w:rPr>
          <w:t>10</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5250" w:history="1">
        <w:r w:rsidR="00F1265B" w:rsidRPr="00A214B0">
          <w:rPr>
            <w:color w:val="000000" w:themeColor="text1"/>
            <w:szCs w:val="24"/>
          </w:rPr>
          <w:t>（四）企业拥有的表外资产情况</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_Toc15250 </w:instrText>
        </w:r>
        <w:r w:rsidR="00F1265B" w:rsidRPr="00A214B0">
          <w:rPr>
            <w:color w:val="000000" w:themeColor="text1"/>
            <w:szCs w:val="24"/>
          </w:rPr>
          <w:fldChar w:fldCharType="separate"/>
        </w:r>
        <w:r w:rsidR="00F1265B" w:rsidRPr="00A214B0">
          <w:rPr>
            <w:color w:val="000000" w:themeColor="text1"/>
            <w:szCs w:val="24"/>
          </w:rPr>
          <w:t>13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8282" w:history="1">
        <w:r w:rsidR="00F1265B" w:rsidRPr="00A214B0">
          <w:rPr>
            <w:color w:val="000000" w:themeColor="text1"/>
            <w:szCs w:val="24"/>
          </w:rPr>
          <w:t>（五）引用其他机构出具的报告结论所涉及的相关资产</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_Toc18282 </w:instrText>
        </w:r>
        <w:r w:rsidR="00F1265B" w:rsidRPr="00A214B0">
          <w:rPr>
            <w:color w:val="000000" w:themeColor="text1"/>
            <w:szCs w:val="24"/>
          </w:rPr>
          <w:fldChar w:fldCharType="separate"/>
        </w:r>
        <w:r w:rsidR="00F1265B" w:rsidRPr="00A214B0">
          <w:rPr>
            <w:color w:val="000000" w:themeColor="text1"/>
            <w:szCs w:val="24"/>
          </w:rPr>
          <w:t>13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3076" w:history="1">
        <w:r w:rsidR="00F1265B" w:rsidRPr="00A214B0">
          <w:rPr>
            <w:color w:val="000000" w:themeColor="text1"/>
            <w:szCs w:val="24"/>
          </w:rPr>
          <w:t>二、资产核实情况总体说明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_Toc23076 </w:instrText>
        </w:r>
        <w:r w:rsidR="00F1265B" w:rsidRPr="00A214B0">
          <w:rPr>
            <w:color w:val="000000" w:themeColor="text1"/>
            <w:szCs w:val="24"/>
          </w:rPr>
          <w:fldChar w:fldCharType="separate"/>
        </w:r>
        <w:r w:rsidR="00F1265B" w:rsidRPr="00A214B0">
          <w:rPr>
            <w:color w:val="000000" w:themeColor="text1"/>
            <w:szCs w:val="24"/>
          </w:rPr>
          <w:t>13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7235" w:history="1">
        <w:r w:rsidR="00F1265B" w:rsidRPr="00A214B0">
          <w:rPr>
            <w:color w:val="000000" w:themeColor="text1"/>
            <w:szCs w:val="24"/>
          </w:rPr>
          <w:t>（一）资产核实的组织与实施过程</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_Toc27235 </w:instrText>
        </w:r>
        <w:r w:rsidR="00F1265B" w:rsidRPr="00A214B0">
          <w:rPr>
            <w:color w:val="000000" w:themeColor="text1"/>
            <w:szCs w:val="24"/>
          </w:rPr>
          <w:fldChar w:fldCharType="separate"/>
        </w:r>
        <w:r w:rsidR="00F1265B" w:rsidRPr="00A214B0">
          <w:rPr>
            <w:color w:val="000000" w:themeColor="text1"/>
            <w:szCs w:val="24"/>
          </w:rPr>
          <w:t>13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4273" w:history="1">
        <w:r w:rsidR="00F1265B" w:rsidRPr="00A214B0">
          <w:rPr>
            <w:color w:val="000000" w:themeColor="text1"/>
            <w:szCs w:val="24"/>
          </w:rPr>
          <w:t>（二）影响资产核实的事项及处理方法</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_Toc24273 </w:instrText>
        </w:r>
        <w:r w:rsidR="00F1265B" w:rsidRPr="00A214B0">
          <w:rPr>
            <w:color w:val="000000" w:themeColor="text1"/>
            <w:szCs w:val="24"/>
          </w:rPr>
          <w:fldChar w:fldCharType="separate"/>
        </w:r>
        <w:r w:rsidR="00F1265B" w:rsidRPr="00A214B0">
          <w:rPr>
            <w:color w:val="000000" w:themeColor="text1"/>
            <w:szCs w:val="24"/>
          </w:rPr>
          <w:t>16</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2203" w:history="1">
        <w:r w:rsidR="00F1265B" w:rsidRPr="00A214B0">
          <w:rPr>
            <w:color w:val="000000" w:themeColor="text1"/>
            <w:szCs w:val="24"/>
          </w:rPr>
          <w:t>（三）资产核实结论</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_Toc22203 </w:instrText>
        </w:r>
        <w:r w:rsidR="00F1265B" w:rsidRPr="00A214B0">
          <w:rPr>
            <w:color w:val="000000" w:themeColor="text1"/>
            <w:szCs w:val="24"/>
          </w:rPr>
          <w:fldChar w:fldCharType="separate"/>
        </w:r>
        <w:r w:rsidR="00F1265B" w:rsidRPr="00A214B0">
          <w:rPr>
            <w:color w:val="000000" w:themeColor="text1"/>
            <w:szCs w:val="24"/>
          </w:rPr>
          <w:t>16</w:t>
        </w:r>
        <w:r w:rsidR="00F1265B" w:rsidRPr="00A214B0">
          <w:rPr>
            <w:color w:val="000000" w:themeColor="text1"/>
            <w:szCs w:val="24"/>
          </w:rPr>
          <w:fldChar w:fldCharType="end"/>
        </w:r>
      </w:hyperlink>
    </w:p>
    <w:p w:rsidR="00D56508" w:rsidRPr="00A214B0" w:rsidRDefault="003D0F46">
      <w:pPr>
        <w:pStyle w:val="10"/>
        <w:tabs>
          <w:tab w:val="right" w:leader="dot" w:pos="8833"/>
        </w:tabs>
        <w:adjustRightInd w:val="0"/>
        <w:snapToGrid w:val="0"/>
        <w:spacing w:line="360" w:lineRule="auto"/>
        <w:rPr>
          <w:color w:val="000000" w:themeColor="text1"/>
          <w:sz w:val="24"/>
          <w:szCs w:val="24"/>
        </w:rPr>
      </w:pPr>
      <w:hyperlink w:anchor="_Toc24913" w:history="1">
        <w:r w:rsidR="00F1265B" w:rsidRPr="00A214B0">
          <w:rPr>
            <w:color w:val="000000" w:themeColor="text1"/>
            <w:sz w:val="24"/>
            <w:szCs w:val="24"/>
          </w:rPr>
          <w:t>第四部分</w:t>
        </w:r>
        <w:r w:rsidR="00F1265B" w:rsidRPr="00A214B0">
          <w:rPr>
            <w:color w:val="000000" w:themeColor="text1"/>
            <w:sz w:val="24"/>
            <w:szCs w:val="24"/>
          </w:rPr>
          <w:t xml:space="preserve"> </w:t>
        </w:r>
        <w:r w:rsidR="00F1265B" w:rsidRPr="00A214B0">
          <w:rPr>
            <w:color w:val="000000" w:themeColor="text1"/>
            <w:sz w:val="24"/>
            <w:szCs w:val="24"/>
          </w:rPr>
          <w:t>资产基础法评估技术说明</w:t>
        </w:r>
        <w:r w:rsidR="00F1265B" w:rsidRPr="00A214B0">
          <w:rPr>
            <w:color w:val="000000" w:themeColor="text1"/>
            <w:sz w:val="24"/>
            <w:szCs w:val="24"/>
          </w:rPr>
          <w:tab/>
        </w:r>
        <w:r w:rsidR="00F1265B" w:rsidRPr="00A214B0">
          <w:rPr>
            <w:color w:val="000000" w:themeColor="text1"/>
            <w:sz w:val="24"/>
            <w:szCs w:val="24"/>
          </w:rPr>
          <w:fldChar w:fldCharType="begin"/>
        </w:r>
        <w:r w:rsidR="00F1265B" w:rsidRPr="00A214B0">
          <w:rPr>
            <w:color w:val="000000" w:themeColor="text1"/>
            <w:sz w:val="24"/>
            <w:szCs w:val="24"/>
          </w:rPr>
          <w:instrText xml:space="preserve"> PAGEREF _Toc24913 </w:instrText>
        </w:r>
        <w:r w:rsidR="00F1265B" w:rsidRPr="00A214B0">
          <w:rPr>
            <w:color w:val="000000" w:themeColor="text1"/>
            <w:sz w:val="24"/>
            <w:szCs w:val="24"/>
          </w:rPr>
          <w:fldChar w:fldCharType="separate"/>
        </w:r>
        <w:r w:rsidR="00F1265B" w:rsidRPr="00A214B0">
          <w:rPr>
            <w:color w:val="000000" w:themeColor="text1"/>
            <w:sz w:val="24"/>
            <w:szCs w:val="24"/>
          </w:rPr>
          <w:t>19</w:t>
        </w:r>
        <w:r w:rsidR="00F1265B" w:rsidRPr="00A214B0">
          <w:rPr>
            <w:color w:val="000000" w:themeColor="text1"/>
            <w:sz w:val="24"/>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1695" w:history="1">
        <w:r w:rsidR="00F1265B" w:rsidRPr="00A214B0">
          <w:rPr>
            <w:color w:val="000000" w:themeColor="text1"/>
            <w:szCs w:val="24"/>
          </w:rPr>
          <w:t>一、流动资产评估说明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_Toc21695 </w:instrText>
        </w:r>
        <w:r w:rsidR="00F1265B" w:rsidRPr="00A214B0">
          <w:rPr>
            <w:color w:val="000000" w:themeColor="text1"/>
            <w:szCs w:val="24"/>
          </w:rPr>
          <w:fldChar w:fldCharType="separate"/>
        </w:r>
        <w:r w:rsidR="00F1265B" w:rsidRPr="00A214B0">
          <w:rPr>
            <w:color w:val="000000" w:themeColor="text1"/>
            <w:szCs w:val="24"/>
          </w:rPr>
          <w:t>20</w:t>
        </w:r>
        <w:r w:rsidR="00F1265B" w:rsidRPr="00A214B0">
          <w:rPr>
            <w:color w:val="000000" w:themeColor="text1"/>
            <w:szCs w:val="24"/>
          </w:rPr>
          <w:fldChar w:fldCharType="end"/>
        </w:r>
      </w:hyperlink>
    </w:p>
    <w:p w:rsidR="00D56508" w:rsidRPr="00A214B0" w:rsidRDefault="003D0F46">
      <w:pPr>
        <w:pStyle w:val="31"/>
        <w:tabs>
          <w:tab w:val="right" w:leader="dot" w:pos="8833"/>
        </w:tabs>
        <w:adjustRightInd w:val="0"/>
        <w:snapToGrid w:val="0"/>
        <w:spacing w:line="360" w:lineRule="auto"/>
        <w:rPr>
          <w:color w:val="000000" w:themeColor="text1"/>
          <w:szCs w:val="24"/>
        </w:rPr>
      </w:pPr>
      <w:hyperlink w:anchor="_Toc16976" w:history="1">
        <w:r w:rsidR="00F1265B" w:rsidRPr="00A214B0">
          <w:rPr>
            <w:color w:val="000000" w:themeColor="text1"/>
            <w:szCs w:val="24"/>
          </w:rPr>
          <w:t>（一）货币资金</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_Toc16976 </w:instrText>
        </w:r>
        <w:r w:rsidR="00F1265B" w:rsidRPr="00A214B0">
          <w:rPr>
            <w:color w:val="000000" w:themeColor="text1"/>
            <w:szCs w:val="24"/>
          </w:rPr>
          <w:fldChar w:fldCharType="separate"/>
        </w:r>
        <w:r w:rsidR="00F1265B" w:rsidRPr="00A214B0">
          <w:rPr>
            <w:color w:val="000000" w:themeColor="text1"/>
            <w:szCs w:val="24"/>
          </w:rPr>
          <w:t>20</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4472" w:history="1">
        <w:r w:rsidR="00F1265B" w:rsidRPr="00A214B0">
          <w:rPr>
            <w:color w:val="000000" w:themeColor="text1"/>
            <w:szCs w:val="24"/>
          </w:rPr>
          <w:t>（二）应收票据</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_Toc14472 </w:instrText>
        </w:r>
        <w:r w:rsidR="00F1265B" w:rsidRPr="00A214B0">
          <w:rPr>
            <w:color w:val="000000" w:themeColor="text1"/>
            <w:szCs w:val="24"/>
          </w:rPr>
          <w:fldChar w:fldCharType="separate"/>
        </w:r>
        <w:r w:rsidR="00F1265B" w:rsidRPr="00A214B0">
          <w:rPr>
            <w:color w:val="000000" w:themeColor="text1"/>
            <w:szCs w:val="24"/>
          </w:rPr>
          <w:t>21</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4886" w:history="1">
        <w:r w:rsidR="00F1265B" w:rsidRPr="00A214B0">
          <w:rPr>
            <w:color w:val="000000" w:themeColor="text1"/>
            <w:szCs w:val="24"/>
          </w:rPr>
          <w:t>（三）应收款项</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_Toc24886 </w:instrText>
        </w:r>
        <w:r w:rsidR="00F1265B" w:rsidRPr="00A214B0">
          <w:rPr>
            <w:color w:val="000000" w:themeColor="text1"/>
            <w:szCs w:val="24"/>
          </w:rPr>
          <w:fldChar w:fldCharType="separate"/>
        </w:r>
        <w:r w:rsidR="00F1265B" w:rsidRPr="00A214B0">
          <w:rPr>
            <w:color w:val="000000" w:themeColor="text1"/>
            <w:szCs w:val="24"/>
          </w:rPr>
          <w:t>21</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8081" w:history="1">
        <w:r w:rsidR="00F1265B" w:rsidRPr="00A214B0">
          <w:rPr>
            <w:color w:val="000000" w:themeColor="text1"/>
            <w:szCs w:val="24"/>
          </w:rPr>
          <w:t>（四）预付账款</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_Toc8081 </w:instrText>
        </w:r>
        <w:r w:rsidR="00F1265B" w:rsidRPr="00A214B0">
          <w:rPr>
            <w:color w:val="000000" w:themeColor="text1"/>
            <w:szCs w:val="24"/>
          </w:rPr>
          <w:fldChar w:fldCharType="separate"/>
        </w:r>
        <w:r w:rsidR="00F1265B" w:rsidRPr="00A214B0">
          <w:rPr>
            <w:color w:val="000000" w:themeColor="text1"/>
            <w:szCs w:val="24"/>
          </w:rPr>
          <w:t>21</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5635" w:history="1">
        <w:r w:rsidR="00F1265B" w:rsidRPr="00A214B0">
          <w:rPr>
            <w:color w:val="000000" w:themeColor="text1"/>
            <w:szCs w:val="24"/>
          </w:rPr>
          <w:t>（五）其他应收款</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_Toc25635 </w:instrText>
        </w:r>
        <w:r w:rsidR="00F1265B" w:rsidRPr="00A214B0">
          <w:rPr>
            <w:color w:val="000000" w:themeColor="text1"/>
            <w:szCs w:val="24"/>
          </w:rPr>
          <w:fldChar w:fldCharType="separate"/>
        </w:r>
        <w:r w:rsidR="00F1265B" w:rsidRPr="00A214B0">
          <w:rPr>
            <w:color w:val="000000" w:themeColor="text1"/>
            <w:szCs w:val="24"/>
          </w:rPr>
          <w:t>22</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308" w:history="1">
        <w:r w:rsidR="00F1265B" w:rsidRPr="00A214B0">
          <w:rPr>
            <w:color w:val="000000" w:themeColor="text1"/>
            <w:szCs w:val="24"/>
          </w:rPr>
          <w:t>（六）存货</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_Toc1308 </w:instrText>
        </w:r>
        <w:r w:rsidR="00F1265B" w:rsidRPr="00A214B0">
          <w:rPr>
            <w:color w:val="000000" w:themeColor="text1"/>
            <w:szCs w:val="24"/>
          </w:rPr>
          <w:fldChar w:fldCharType="separate"/>
        </w:r>
        <w:r w:rsidR="00F1265B" w:rsidRPr="00A214B0">
          <w:rPr>
            <w:color w:val="000000" w:themeColor="text1"/>
            <w:szCs w:val="24"/>
          </w:rPr>
          <w:t>22</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4825" w:history="1">
        <w:r w:rsidR="00F1265B" w:rsidRPr="00A214B0">
          <w:rPr>
            <w:color w:val="000000" w:themeColor="text1"/>
            <w:szCs w:val="24"/>
          </w:rPr>
          <w:t>（七）</w:t>
        </w:r>
        <w:r w:rsidR="00F1265B" w:rsidRPr="00A214B0">
          <w:rPr>
            <w:color w:val="000000" w:themeColor="text1"/>
            <w:szCs w:val="24"/>
          </w:rPr>
          <w:t xml:space="preserve"> </w:t>
        </w:r>
        <w:r w:rsidR="00F1265B" w:rsidRPr="00A214B0">
          <w:rPr>
            <w:color w:val="000000" w:themeColor="text1"/>
            <w:szCs w:val="24"/>
          </w:rPr>
          <w:t>其他流动资产</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_Toc24825 </w:instrText>
        </w:r>
        <w:r w:rsidR="00F1265B" w:rsidRPr="00A214B0">
          <w:rPr>
            <w:color w:val="000000" w:themeColor="text1"/>
            <w:szCs w:val="24"/>
          </w:rPr>
          <w:fldChar w:fldCharType="separate"/>
        </w:r>
        <w:r w:rsidR="00F1265B" w:rsidRPr="00A214B0">
          <w:rPr>
            <w:color w:val="000000" w:themeColor="text1"/>
            <w:szCs w:val="24"/>
          </w:rPr>
          <w:t>22</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9208" w:history="1">
        <w:r w:rsidR="00F1265B" w:rsidRPr="00A214B0">
          <w:rPr>
            <w:color w:val="000000" w:themeColor="text1"/>
            <w:szCs w:val="24"/>
          </w:rPr>
          <w:t>二、非流动资产评估说明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_Toc9208 </w:instrText>
        </w:r>
        <w:r w:rsidR="00F1265B" w:rsidRPr="00A214B0">
          <w:rPr>
            <w:color w:val="000000" w:themeColor="text1"/>
            <w:szCs w:val="24"/>
          </w:rPr>
          <w:fldChar w:fldCharType="separate"/>
        </w:r>
        <w:r w:rsidR="00F1265B" w:rsidRPr="00A214B0">
          <w:rPr>
            <w:color w:val="000000" w:themeColor="text1"/>
            <w:szCs w:val="24"/>
          </w:rPr>
          <w:t>22</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4164" w:history="1">
        <w:r w:rsidR="00F1265B" w:rsidRPr="00A214B0">
          <w:rPr>
            <w:color w:val="000000" w:themeColor="text1"/>
            <w:szCs w:val="24"/>
          </w:rPr>
          <w:t>（一）长期股权投资</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_Toc24164 </w:instrText>
        </w:r>
        <w:r w:rsidR="00F1265B" w:rsidRPr="00A214B0">
          <w:rPr>
            <w:color w:val="000000" w:themeColor="text1"/>
            <w:szCs w:val="24"/>
          </w:rPr>
          <w:fldChar w:fldCharType="separate"/>
        </w:r>
        <w:r w:rsidR="00F1265B" w:rsidRPr="00A214B0">
          <w:rPr>
            <w:color w:val="000000" w:themeColor="text1"/>
            <w:szCs w:val="24"/>
          </w:rPr>
          <w:t>23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9489" w:history="1">
        <w:r w:rsidR="00F1265B" w:rsidRPr="00A214B0">
          <w:rPr>
            <w:color w:val="000000" w:themeColor="text1"/>
            <w:szCs w:val="24"/>
          </w:rPr>
          <w:t>（二）固定资产</w:t>
        </w:r>
        <w:r w:rsidR="00F1265B" w:rsidRPr="00A214B0">
          <w:rPr>
            <w:color w:val="000000" w:themeColor="text1"/>
            <w:szCs w:val="24"/>
          </w:rPr>
          <w:t>-</w:t>
        </w:r>
        <w:r w:rsidR="00F1265B" w:rsidRPr="00A214B0">
          <w:rPr>
            <w:color w:val="000000" w:themeColor="text1"/>
            <w:szCs w:val="24"/>
          </w:rPr>
          <w:t>房屋建筑物类评估说明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_Toc29489 </w:instrText>
        </w:r>
        <w:r w:rsidR="00F1265B" w:rsidRPr="00A214B0">
          <w:rPr>
            <w:color w:val="000000" w:themeColor="text1"/>
            <w:szCs w:val="24"/>
          </w:rPr>
          <w:fldChar w:fldCharType="separate"/>
        </w:r>
        <w:r w:rsidR="00F1265B" w:rsidRPr="00A214B0">
          <w:rPr>
            <w:color w:val="000000" w:themeColor="text1"/>
            <w:szCs w:val="24"/>
          </w:rPr>
          <w:t>25</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6017" w:history="1">
        <w:r w:rsidR="00F1265B" w:rsidRPr="00A214B0">
          <w:rPr>
            <w:color w:val="000000" w:themeColor="text1"/>
            <w:szCs w:val="24"/>
          </w:rPr>
          <w:t>（三）设备类资产评估说明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_Toc16017 </w:instrText>
        </w:r>
        <w:r w:rsidR="00F1265B" w:rsidRPr="00A214B0">
          <w:rPr>
            <w:color w:val="000000" w:themeColor="text1"/>
            <w:szCs w:val="24"/>
          </w:rPr>
          <w:fldChar w:fldCharType="separate"/>
        </w:r>
        <w:r w:rsidR="00F1265B" w:rsidRPr="00A214B0">
          <w:rPr>
            <w:color w:val="000000" w:themeColor="text1"/>
            <w:szCs w:val="24"/>
          </w:rPr>
          <w:t>38</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3017" w:history="1">
        <w:r w:rsidR="00F1265B" w:rsidRPr="00A214B0">
          <w:rPr>
            <w:color w:val="000000" w:themeColor="text1"/>
            <w:szCs w:val="24"/>
          </w:rPr>
          <w:t>（四）在建工程评估说明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_Toc3017 </w:instrText>
        </w:r>
        <w:r w:rsidR="00F1265B" w:rsidRPr="00A214B0">
          <w:rPr>
            <w:color w:val="000000" w:themeColor="text1"/>
            <w:szCs w:val="24"/>
          </w:rPr>
          <w:fldChar w:fldCharType="separate"/>
        </w:r>
        <w:r w:rsidR="00F1265B" w:rsidRPr="00A214B0">
          <w:rPr>
            <w:color w:val="000000" w:themeColor="text1"/>
            <w:szCs w:val="24"/>
          </w:rPr>
          <w:t>38</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30216" w:history="1">
        <w:r w:rsidR="00F1265B" w:rsidRPr="00A214B0">
          <w:rPr>
            <w:color w:val="000000" w:themeColor="text1"/>
            <w:szCs w:val="24"/>
          </w:rPr>
          <w:t>（五）无形资产</w:t>
        </w:r>
        <w:r w:rsidR="00F1265B" w:rsidRPr="00A214B0">
          <w:rPr>
            <w:color w:val="000000" w:themeColor="text1"/>
            <w:szCs w:val="24"/>
          </w:rPr>
          <w:t>-</w:t>
        </w:r>
        <w:r w:rsidR="00F1265B" w:rsidRPr="00A214B0">
          <w:rPr>
            <w:color w:val="000000" w:themeColor="text1"/>
            <w:szCs w:val="24"/>
          </w:rPr>
          <w:t>土地使用权评估说明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_Toc30216 </w:instrText>
        </w:r>
        <w:r w:rsidR="00F1265B" w:rsidRPr="00A214B0">
          <w:rPr>
            <w:color w:val="000000" w:themeColor="text1"/>
            <w:szCs w:val="24"/>
          </w:rPr>
          <w:fldChar w:fldCharType="separate"/>
        </w:r>
        <w:r w:rsidR="00F1265B" w:rsidRPr="00A214B0">
          <w:rPr>
            <w:color w:val="000000" w:themeColor="text1"/>
            <w:szCs w:val="24"/>
          </w:rPr>
          <w:t>50</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1113" w:history="1">
        <w:r w:rsidR="00F1265B" w:rsidRPr="00A214B0">
          <w:rPr>
            <w:color w:val="000000" w:themeColor="text1"/>
            <w:szCs w:val="24"/>
          </w:rPr>
          <w:t>（六）无形资产</w:t>
        </w:r>
        <w:r w:rsidR="00F1265B" w:rsidRPr="00A214B0">
          <w:rPr>
            <w:color w:val="000000" w:themeColor="text1"/>
            <w:szCs w:val="24"/>
          </w:rPr>
          <w:t>-</w:t>
        </w:r>
        <w:r w:rsidR="00F1265B" w:rsidRPr="00A214B0">
          <w:rPr>
            <w:color w:val="000000" w:themeColor="text1"/>
            <w:szCs w:val="24"/>
          </w:rPr>
          <w:t>其他无形资产评估说明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_Toc11113 </w:instrText>
        </w:r>
        <w:r w:rsidR="00F1265B" w:rsidRPr="00A214B0">
          <w:rPr>
            <w:color w:val="000000" w:themeColor="text1"/>
            <w:szCs w:val="24"/>
          </w:rPr>
          <w:fldChar w:fldCharType="separate"/>
        </w:r>
        <w:r w:rsidR="00F1265B" w:rsidRPr="00A214B0">
          <w:rPr>
            <w:color w:val="000000" w:themeColor="text1"/>
            <w:szCs w:val="24"/>
          </w:rPr>
          <w:t>58</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8409" w:history="1">
        <w:r w:rsidR="00F1265B" w:rsidRPr="00A214B0">
          <w:rPr>
            <w:color w:val="000000" w:themeColor="text1"/>
            <w:szCs w:val="24"/>
          </w:rPr>
          <w:t>（七）递延所得税资产评估说明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_Toc28409 </w:instrText>
        </w:r>
        <w:r w:rsidR="00F1265B" w:rsidRPr="00A214B0">
          <w:rPr>
            <w:color w:val="000000" w:themeColor="text1"/>
            <w:szCs w:val="24"/>
          </w:rPr>
          <w:fldChar w:fldCharType="separate"/>
        </w:r>
        <w:r w:rsidR="00F1265B" w:rsidRPr="00A214B0">
          <w:rPr>
            <w:color w:val="000000" w:themeColor="text1"/>
            <w:szCs w:val="24"/>
          </w:rPr>
          <w:t>72</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4652" w:history="1">
        <w:r w:rsidR="00F1265B" w:rsidRPr="00A214B0">
          <w:rPr>
            <w:color w:val="000000" w:themeColor="text1"/>
            <w:szCs w:val="24"/>
          </w:rPr>
          <w:t>（八）长期待摊费用评估说明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_Toc4652 </w:instrText>
        </w:r>
        <w:r w:rsidR="00F1265B" w:rsidRPr="00A214B0">
          <w:rPr>
            <w:color w:val="000000" w:themeColor="text1"/>
            <w:szCs w:val="24"/>
          </w:rPr>
          <w:fldChar w:fldCharType="separate"/>
        </w:r>
        <w:r w:rsidR="00F1265B" w:rsidRPr="00A214B0">
          <w:rPr>
            <w:color w:val="000000" w:themeColor="text1"/>
            <w:szCs w:val="24"/>
          </w:rPr>
          <w:t>72</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3616" w:history="1">
        <w:r w:rsidR="00F1265B" w:rsidRPr="00A214B0">
          <w:rPr>
            <w:color w:val="000000" w:themeColor="text1"/>
            <w:szCs w:val="24"/>
          </w:rPr>
          <w:t>（九）其他非流动资产评估说明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_Toc13616 </w:instrText>
        </w:r>
        <w:r w:rsidR="00F1265B" w:rsidRPr="00A214B0">
          <w:rPr>
            <w:color w:val="000000" w:themeColor="text1"/>
            <w:szCs w:val="24"/>
          </w:rPr>
          <w:fldChar w:fldCharType="separate"/>
        </w:r>
        <w:r w:rsidR="00F1265B" w:rsidRPr="00A214B0">
          <w:rPr>
            <w:color w:val="000000" w:themeColor="text1"/>
            <w:szCs w:val="24"/>
          </w:rPr>
          <w:t>73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10428" w:history="1">
        <w:r w:rsidR="00F1265B" w:rsidRPr="00A214B0">
          <w:rPr>
            <w:color w:val="000000" w:themeColor="text1"/>
            <w:szCs w:val="24"/>
          </w:rPr>
          <w:t>三、流动负债评估说明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_Toc10428 </w:instrText>
        </w:r>
        <w:r w:rsidR="00F1265B" w:rsidRPr="00A214B0">
          <w:rPr>
            <w:color w:val="000000" w:themeColor="text1"/>
            <w:szCs w:val="24"/>
          </w:rPr>
          <w:fldChar w:fldCharType="separate"/>
        </w:r>
        <w:r w:rsidR="00F1265B" w:rsidRPr="00A214B0">
          <w:rPr>
            <w:color w:val="000000" w:themeColor="text1"/>
            <w:szCs w:val="24"/>
          </w:rPr>
          <w:t>73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8932" w:history="1">
        <w:r w:rsidR="00F1265B" w:rsidRPr="00A214B0">
          <w:rPr>
            <w:color w:val="000000" w:themeColor="text1"/>
            <w:szCs w:val="24"/>
          </w:rPr>
          <w:t>（一）短期借款</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_Toc28932 </w:instrText>
        </w:r>
        <w:r w:rsidR="00F1265B" w:rsidRPr="00A214B0">
          <w:rPr>
            <w:color w:val="000000" w:themeColor="text1"/>
            <w:szCs w:val="24"/>
          </w:rPr>
          <w:fldChar w:fldCharType="separate"/>
        </w:r>
        <w:r w:rsidR="00F1265B" w:rsidRPr="00A214B0">
          <w:rPr>
            <w:color w:val="000000" w:themeColor="text1"/>
            <w:szCs w:val="24"/>
          </w:rPr>
          <w:t>73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7748" w:history="1">
        <w:r w:rsidR="00F1265B" w:rsidRPr="00A214B0">
          <w:rPr>
            <w:color w:val="000000" w:themeColor="text1"/>
            <w:szCs w:val="24"/>
          </w:rPr>
          <w:t>（二）应付账款</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_Toc17748 </w:instrText>
        </w:r>
        <w:r w:rsidR="00F1265B" w:rsidRPr="00A214B0">
          <w:rPr>
            <w:color w:val="000000" w:themeColor="text1"/>
            <w:szCs w:val="24"/>
          </w:rPr>
          <w:fldChar w:fldCharType="separate"/>
        </w:r>
        <w:r w:rsidR="00F1265B" w:rsidRPr="00A214B0">
          <w:rPr>
            <w:color w:val="000000" w:themeColor="text1"/>
            <w:szCs w:val="24"/>
          </w:rPr>
          <w:t>73</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6152" w:history="1">
        <w:r w:rsidR="00F1265B" w:rsidRPr="00A214B0">
          <w:rPr>
            <w:color w:val="000000" w:themeColor="text1"/>
            <w:szCs w:val="24"/>
          </w:rPr>
          <w:t>（三）预收账款</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_Toc16152 </w:instrText>
        </w:r>
        <w:r w:rsidR="00F1265B" w:rsidRPr="00A214B0">
          <w:rPr>
            <w:color w:val="000000" w:themeColor="text1"/>
            <w:szCs w:val="24"/>
          </w:rPr>
          <w:fldChar w:fldCharType="separate"/>
        </w:r>
        <w:r w:rsidR="00F1265B" w:rsidRPr="00A214B0">
          <w:rPr>
            <w:color w:val="000000" w:themeColor="text1"/>
            <w:szCs w:val="24"/>
          </w:rPr>
          <w:t>74</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13092" w:history="1">
        <w:r w:rsidR="00F1265B" w:rsidRPr="00A214B0">
          <w:rPr>
            <w:color w:val="000000" w:themeColor="text1"/>
            <w:szCs w:val="24"/>
          </w:rPr>
          <w:t>（四）应付职工薪酬</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_Toc13092 </w:instrText>
        </w:r>
        <w:r w:rsidR="00F1265B" w:rsidRPr="00A214B0">
          <w:rPr>
            <w:color w:val="000000" w:themeColor="text1"/>
            <w:szCs w:val="24"/>
          </w:rPr>
          <w:fldChar w:fldCharType="separate"/>
        </w:r>
        <w:r w:rsidR="00F1265B" w:rsidRPr="00A214B0">
          <w:rPr>
            <w:color w:val="000000" w:themeColor="text1"/>
            <w:szCs w:val="24"/>
          </w:rPr>
          <w:t>74</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8873" w:history="1">
        <w:r w:rsidR="00F1265B" w:rsidRPr="00A214B0">
          <w:rPr>
            <w:color w:val="000000" w:themeColor="text1"/>
            <w:szCs w:val="24"/>
          </w:rPr>
          <w:t>（五）应交税费</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_Toc8873 </w:instrText>
        </w:r>
        <w:r w:rsidR="00F1265B" w:rsidRPr="00A214B0">
          <w:rPr>
            <w:color w:val="000000" w:themeColor="text1"/>
            <w:szCs w:val="24"/>
          </w:rPr>
          <w:fldChar w:fldCharType="separate"/>
        </w:r>
        <w:r w:rsidR="00F1265B" w:rsidRPr="00A214B0">
          <w:rPr>
            <w:color w:val="000000" w:themeColor="text1"/>
            <w:szCs w:val="24"/>
          </w:rPr>
          <w:t>74</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ind w:firstLineChars="200" w:firstLine="480"/>
        <w:rPr>
          <w:color w:val="000000" w:themeColor="text1"/>
          <w:szCs w:val="24"/>
        </w:rPr>
      </w:pPr>
      <w:hyperlink w:anchor="_Toc25107" w:history="1">
        <w:r w:rsidR="00F1265B" w:rsidRPr="00A214B0">
          <w:rPr>
            <w:color w:val="000000" w:themeColor="text1"/>
            <w:szCs w:val="24"/>
          </w:rPr>
          <w:t>（六）其他应付款</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_Toc25107 </w:instrText>
        </w:r>
        <w:r w:rsidR="00F1265B" w:rsidRPr="00A214B0">
          <w:rPr>
            <w:color w:val="000000" w:themeColor="text1"/>
            <w:szCs w:val="24"/>
          </w:rPr>
          <w:fldChar w:fldCharType="separate"/>
        </w:r>
        <w:r w:rsidR="00F1265B" w:rsidRPr="00A214B0">
          <w:rPr>
            <w:color w:val="000000" w:themeColor="text1"/>
            <w:szCs w:val="24"/>
          </w:rPr>
          <w:t>74</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6392" w:history="1">
        <w:r w:rsidR="00F1265B" w:rsidRPr="00A214B0">
          <w:rPr>
            <w:color w:val="000000" w:themeColor="text1"/>
            <w:szCs w:val="24"/>
          </w:rPr>
          <w:t>四、非流动负债评估说明</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_Toc26392 </w:instrText>
        </w:r>
        <w:r w:rsidR="00F1265B" w:rsidRPr="00A214B0">
          <w:rPr>
            <w:color w:val="000000" w:themeColor="text1"/>
            <w:szCs w:val="24"/>
          </w:rPr>
          <w:fldChar w:fldCharType="separate"/>
        </w:r>
        <w:r w:rsidR="00F1265B" w:rsidRPr="00A214B0">
          <w:rPr>
            <w:color w:val="000000" w:themeColor="text1"/>
            <w:szCs w:val="24"/>
          </w:rPr>
          <w:t>74</w:t>
        </w:r>
        <w:r w:rsidR="00F1265B" w:rsidRPr="00A214B0">
          <w:rPr>
            <w:color w:val="000000" w:themeColor="text1"/>
            <w:szCs w:val="24"/>
          </w:rPr>
          <w:fldChar w:fldCharType="end"/>
        </w:r>
      </w:hyperlink>
    </w:p>
    <w:p w:rsidR="00D56508" w:rsidRPr="00A214B0" w:rsidRDefault="003D0F46">
      <w:pPr>
        <w:pStyle w:val="10"/>
        <w:tabs>
          <w:tab w:val="right" w:leader="dot" w:pos="8833"/>
        </w:tabs>
        <w:adjustRightInd w:val="0"/>
        <w:snapToGrid w:val="0"/>
        <w:spacing w:line="360" w:lineRule="auto"/>
        <w:rPr>
          <w:color w:val="000000" w:themeColor="text1"/>
          <w:sz w:val="24"/>
          <w:szCs w:val="24"/>
        </w:rPr>
      </w:pPr>
      <w:hyperlink w:anchor="_Toc1709" w:history="1">
        <w:r w:rsidR="00F1265B" w:rsidRPr="00A214B0">
          <w:rPr>
            <w:color w:val="000000" w:themeColor="text1"/>
            <w:sz w:val="24"/>
            <w:szCs w:val="24"/>
          </w:rPr>
          <w:t>第五部分</w:t>
        </w:r>
        <w:r w:rsidR="00F1265B" w:rsidRPr="00A214B0">
          <w:rPr>
            <w:color w:val="000000" w:themeColor="text1"/>
            <w:sz w:val="24"/>
            <w:szCs w:val="24"/>
          </w:rPr>
          <w:t xml:space="preserve"> </w:t>
        </w:r>
        <w:r w:rsidR="00F1265B" w:rsidRPr="00A214B0">
          <w:rPr>
            <w:color w:val="000000" w:themeColor="text1"/>
            <w:sz w:val="24"/>
            <w:szCs w:val="24"/>
          </w:rPr>
          <w:t>收益法评估说明</w:t>
        </w:r>
        <w:r w:rsidR="00F1265B" w:rsidRPr="00A214B0">
          <w:rPr>
            <w:color w:val="000000" w:themeColor="text1"/>
            <w:sz w:val="24"/>
            <w:szCs w:val="24"/>
          </w:rPr>
          <w:tab/>
        </w:r>
        <w:r w:rsidR="00F1265B" w:rsidRPr="00A214B0">
          <w:rPr>
            <w:color w:val="000000" w:themeColor="text1"/>
            <w:sz w:val="24"/>
            <w:szCs w:val="24"/>
          </w:rPr>
          <w:fldChar w:fldCharType="begin"/>
        </w:r>
        <w:r w:rsidR="00F1265B" w:rsidRPr="00A214B0">
          <w:rPr>
            <w:color w:val="000000" w:themeColor="text1"/>
            <w:sz w:val="24"/>
            <w:szCs w:val="24"/>
          </w:rPr>
          <w:instrText xml:space="preserve"> PAGEREF _Toc1709 </w:instrText>
        </w:r>
        <w:r w:rsidR="00F1265B" w:rsidRPr="00A214B0">
          <w:rPr>
            <w:color w:val="000000" w:themeColor="text1"/>
            <w:sz w:val="24"/>
            <w:szCs w:val="24"/>
          </w:rPr>
          <w:fldChar w:fldCharType="separate"/>
        </w:r>
        <w:r w:rsidR="00F1265B" w:rsidRPr="00A214B0">
          <w:rPr>
            <w:color w:val="000000" w:themeColor="text1"/>
            <w:sz w:val="24"/>
            <w:szCs w:val="24"/>
          </w:rPr>
          <w:t>76</w:t>
        </w:r>
        <w:r w:rsidR="00F1265B" w:rsidRPr="00A214B0">
          <w:rPr>
            <w:color w:val="000000" w:themeColor="text1"/>
            <w:sz w:val="24"/>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9357" w:history="1">
        <w:r w:rsidR="00F1265B" w:rsidRPr="00A214B0">
          <w:rPr>
            <w:color w:val="000000" w:themeColor="text1"/>
            <w:szCs w:val="24"/>
          </w:rPr>
          <w:t>一、收益法评估对象</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_Toc29357 </w:instrText>
        </w:r>
        <w:r w:rsidR="00F1265B" w:rsidRPr="00A214B0">
          <w:rPr>
            <w:color w:val="000000" w:themeColor="text1"/>
            <w:szCs w:val="24"/>
          </w:rPr>
          <w:fldChar w:fldCharType="separate"/>
        </w:r>
        <w:r w:rsidR="00F1265B" w:rsidRPr="00A214B0">
          <w:rPr>
            <w:color w:val="000000" w:themeColor="text1"/>
            <w:szCs w:val="24"/>
          </w:rPr>
          <w:t>76</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659" w:history="1">
        <w:r w:rsidR="00F1265B" w:rsidRPr="00A214B0">
          <w:rPr>
            <w:color w:val="000000" w:themeColor="text1"/>
            <w:szCs w:val="24"/>
          </w:rPr>
          <w:t>二、收益法的应用前提及选择的理由和依据</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_Toc2659 </w:instrText>
        </w:r>
        <w:r w:rsidR="00F1265B" w:rsidRPr="00A214B0">
          <w:rPr>
            <w:color w:val="000000" w:themeColor="text1"/>
            <w:szCs w:val="24"/>
          </w:rPr>
          <w:fldChar w:fldCharType="separate"/>
        </w:r>
        <w:r w:rsidR="00F1265B" w:rsidRPr="00A214B0">
          <w:rPr>
            <w:color w:val="000000" w:themeColor="text1"/>
            <w:szCs w:val="24"/>
          </w:rPr>
          <w:t>76</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15442" w:history="1">
        <w:r w:rsidR="00F1265B" w:rsidRPr="00A214B0">
          <w:rPr>
            <w:color w:val="000000" w:themeColor="text1"/>
            <w:szCs w:val="24"/>
          </w:rPr>
          <w:t>三、预测的假设条件</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_Toc15442 </w:instrText>
        </w:r>
        <w:r w:rsidR="00F1265B" w:rsidRPr="00A214B0">
          <w:rPr>
            <w:color w:val="000000" w:themeColor="text1"/>
            <w:szCs w:val="24"/>
          </w:rPr>
          <w:fldChar w:fldCharType="separate"/>
        </w:r>
        <w:r w:rsidR="00F1265B" w:rsidRPr="00A214B0">
          <w:rPr>
            <w:color w:val="000000" w:themeColor="text1"/>
            <w:szCs w:val="24"/>
          </w:rPr>
          <w:t>76</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2211" w:history="1">
        <w:r w:rsidR="00F1265B" w:rsidRPr="00A214B0">
          <w:rPr>
            <w:color w:val="000000" w:themeColor="text1"/>
            <w:szCs w:val="24"/>
          </w:rPr>
          <w:t>四、宏观经济环境分析、企业经营、资产、财务分析</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_Toc22211 </w:instrText>
        </w:r>
        <w:r w:rsidR="00F1265B" w:rsidRPr="00A214B0">
          <w:rPr>
            <w:color w:val="000000" w:themeColor="text1"/>
            <w:szCs w:val="24"/>
          </w:rPr>
          <w:fldChar w:fldCharType="separate"/>
        </w:r>
        <w:r w:rsidR="00F1265B" w:rsidRPr="00A214B0">
          <w:rPr>
            <w:color w:val="000000" w:themeColor="text1"/>
            <w:szCs w:val="24"/>
          </w:rPr>
          <w:t>77</w:t>
        </w:r>
        <w:r w:rsidR="00F1265B" w:rsidRPr="00A214B0">
          <w:rPr>
            <w:color w:val="000000" w:themeColor="text1"/>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25699" w:history="1">
        <w:r w:rsidR="00F1265B" w:rsidRPr="00A214B0">
          <w:rPr>
            <w:color w:val="000000" w:themeColor="text1"/>
            <w:szCs w:val="24"/>
          </w:rPr>
          <w:t>五、评估计算及分析过程</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_Toc25699 </w:instrText>
        </w:r>
        <w:r w:rsidR="00F1265B" w:rsidRPr="00A214B0">
          <w:rPr>
            <w:color w:val="000000" w:themeColor="text1"/>
            <w:szCs w:val="24"/>
          </w:rPr>
          <w:fldChar w:fldCharType="separate"/>
        </w:r>
        <w:r w:rsidR="00F1265B" w:rsidRPr="00A214B0">
          <w:rPr>
            <w:color w:val="000000" w:themeColor="text1"/>
            <w:szCs w:val="24"/>
          </w:rPr>
          <w:t>86</w:t>
        </w:r>
        <w:r w:rsidR="00F1265B" w:rsidRPr="00A214B0">
          <w:rPr>
            <w:color w:val="000000" w:themeColor="text1"/>
            <w:szCs w:val="24"/>
          </w:rPr>
          <w:fldChar w:fldCharType="end"/>
        </w:r>
      </w:hyperlink>
    </w:p>
    <w:p w:rsidR="00D56508" w:rsidRPr="00A214B0" w:rsidRDefault="003D0F46">
      <w:pPr>
        <w:pStyle w:val="10"/>
        <w:tabs>
          <w:tab w:val="right" w:leader="dot" w:pos="8833"/>
        </w:tabs>
        <w:adjustRightInd w:val="0"/>
        <w:snapToGrid w:val="0"/>
        <w:spacing w:line="360" w:lineRule="auto"/>
        <w:rPr>
          <w:color w:val="000000" w:themeColor="text1"/>
          <w:sz w:val="24"/>
          <w:szCs w:val="24"/>
        </w:rPr>
      </w:pPr>
      <w:hyperlink w:anchor="_Toc7071" w:history="1">
        <w:r w:rsidR="00F1265B" w:rsidRPr="00A214B0">
          <w:rPr>
            <w:color w:val="000000" w:themeColor="text1"/>
            <w:sz w:val="24"/>
            <w:szCs w:val="24"/>
          </w:rPr>
          <w:t>第六部分</w:t>
        </w:r>
        <w:r w:rsidR="00F1265B" w:rsidRPr="00A214B0">
          <w:rPr>
            <w:color w:val="000000" w:themeColor="text1"/>
            <w:sz w:val="24"/>
            <w:szCs w:val="24"/>
          </w:rPr>
          <w:t xml:space="preserve"> </w:t>
        </w:r>
        <w:r w:rsidR="00F1265B" w:rsidRPr="00A214B0">
          <w:rPr>
            <w:color w:val="000000" w:themeColor="text1"/>
            <w:sz w:val="24"/>
            <w:szCs w:val="24"/>
          </w:rPr>
          <w:t>评估结论及其分析</w:t>
        </w:r>
        <w:r w:rsidR="00F1265B" w:rsidRPr="00A214B0">
          <w:rPr>
            <w:color w:val="000000" w:themeColor="text1"/>
            <w:sz w:val="24"/>
            <w:szCs w:val="24"/>
          </w:rPr>
          <w:tab/>
        </w:r>
        <w:r w:rsidR="00F1265B" w:rsidRPr="00A214B0">
          <w:rPr>
            <w:color w:val="000000" w:themeColor="text1"/>
            <w:sz w:val="24"/>
            <w:szCs w:val="24"/>
          </w:rPr>
          <w:fldChar w:fldCharType="begin"/>
        </w:r>
        <w:r w:rsidR="00F1265B" w:rsidRPr="00A214B0">
          <w:rPr>
            <w:color w:val="000000" w:themeColor="text1"/>
            <w:sz w:val="24"/>
            <w:szCs w:val="24"/>
          </w:rPr>
          <w:instrText xml:space="preserve"> PAGEREF _Toc7071 </w:instrText>
        </w:r>
        <w:r w:rsidR="00F1265B" w:rsidRPr="00A214B0">
          <w:rPr>
            <w:color w:val="000000" w:themeColor="text1"/>
            <w:sz w:val="24"/>
            <w:szCs w:val="24"/>
          </w:rPr>
          <w:fldChar w:fldCharType="separate"/>
        </w:r>
        <w:r w:rsidR="00F1265B" w:rsidRPr="00A214B0">
          <w:rPr>
            <w:color w:val="000000" w:themeColor="text1"/>
            <w:sz w:val="24"/>
            <w:szCs w:val="24"/>
          </w:rPr>
          <w:t>108</w:t>
        </w:r>
        <w:r w:rsidR="00F1265B" w:rsidRPr="00A214B0">
          <w:rPr>
            <w:color w:val="000000" w:themeColor="text1"/>
            <w:sz w:val="24"/>
            <w:szCs w:val="24"/>
          </w:rPr>
          <w:fldChar w:fldCharType="end"/>
        </w:r>
      </w:hyperlink>
    </w:p>
    <w:p w:rsidR="00D56508" w:rsidRPr="00A214B0" w:rsidRDefault="003D0F46">
      <w:pPr>
        <w:pStyle w:val="23"/>
        <w:tabs>
          <w:tab w:val="right" w:leader="dot" w:pos="8833"/>
        </w:tabs>
        <w:adjustRightInd w:val="0"/>
        <w:snapToGrid w:val="0"/>
        <w:spacing w:line="360" w:lineRule="auto"/>
        <w:rPr>
          <w:color w:val="000000" w:themeColor="text1"/>
          <w:szCs w:val="24"/>
        </w:rPr>
      </w:pPr>
      <w:hyperlink w:anchor="_Toc12484" w:history="1">
        <w:r w:rsidR="00F1265B" w:rsidRPr="00A214B0">
          <w:rPr>
            <w:color w:val="000000" w:themeColor="text1"/>
            <w:szCs w:val="24"/>
          </w:rPr>
          <w:t>一、评估结论</w:t>
        </w:r>
        <w:r w:rsidR="00F1265B" w:rsidRPr="00A214B0">
          <w:rPr>
            <w:color w:val="000000" w:themeColor="text1"/>
            <w:szCs w:val="24"/>
          </w:rPr>
          <w:tab/>
        </w:r>
        <w:r w:rsidR="00F1265B" w:rsidRPr="00A214B0">
          <w:rPr>
            <w:color w:val="000000" w:themeColor="text1"/>
            <w:szCs w:val="24"/>
          </w:rPr>
          <w:fldChar w:fldCharType="begin"/>
        </w:r>
        <w:r w:rsidR="00F1265B" w:rsidRPr="00A214B0">
          <w:rPr>
            <w:color w:val="000000" w:themeColor="text1"/>
            <w:szCs w:val="24"/>
          </w:rPr>
          <w:instrText xml:space="preserve"> PAGEREF _Toc12484 </w:instrText>
        </w:r>
        <w:r w:rsidR="00F1265B" w:rsidRPr="00A214B0">
          <w:rPr>
            <w:color w:val="000000" w:themeColor="text1"/>
            <w:szCs w:val="24"/>
          </w:rPr>
          <w:fldChar w:fldCharType="separate"/>
        </w:r>
        <w:r w:rsidR="00F1265B" w:rsidRPr="00A214B0">
          <w:rPr>
            <w:color w:val="000000" w:themeColor="text1"/>
            <w:szCs w:val="24"/>
          </w:rPr>
          <w:t>108</w:t>
        </w:r>
        <w:r w:rsidR="00F1265B" w:rsidRPr="00A214B0">
          <w:rPr>
            <w:color w:val="000000" w:themeColor="text1"/>
            <w:szCs w:val="24"/>
          </w:rPr>
          <w:fldChar w:fldCharType="end"/>
        </w:r>
      </w:hyperlink>
    </w:p>
    <w:p w:rsidR="00D56508" w:rsidRPr="00A214B0" w:rsidRDefault="003D0F46">
      <w:pPr>
        <w:pStyle w:val="10"/>
        <w:tabs>
          <w:tab w:val="right" w:leader="dot" w:pos="8833"/>
        </w:tabs>
        <w:adjustRightInd w:val="0"/>
        <w:snapToGrid w:val="0"/>
        <w:spacing w:line="360" w:lineRule="auto"/>
        <w:rPr>
          <w:color w:val="000000" w:themeColor="text1"/>
          <w:sz w:val="24"/>
          <w:szCs w:val="24"/>
        </w:rPr>
      </w:pPr>
      <w:hyperlink w:anchor="_Toc28473" w:history="1">
        <w:r w:rsidR="00F1265B" w:rsidRPr="00A214B0">
          <w:rPr>
            <w:color w:val="000000" w:themeColor="text1"/>
            <w:sz w:val="24"/>
            <w:szCs w:val="24"/>
          </w:rPr>
          <w:t>附件：第二部分</w:t>
        </w:r>
        <w:r w:rsidR="00F1265B" w:rsidRPr="00A214B0">
          <w:rPr>
            <w:color w:val="000000" w:themeColor="text1"/>
            <w:sz w:val="24"/>
            <w:szCs w:val="24"/>
          </w:rPr>
          <w:t xml:space="preserve"> </w:t>
        </w:r>
        <w:r w:rsidR="00F1265B" w:rsidRPr="00A214B0">
          <w:rPr>
            <w:color w:val="000000" w:themeColor="text1"/>
            <w:sz w:val="24"/>
            <w:szCs w:val="24"/>
          </w:rPr>
          <w:t>关于进行资产评估有关事项的说明</w:t>
        </w:r>
        <w:r w:rsidR="00F1265B" w:rsidRPr="00A214B0">
          <w:rPr>
            <w:color w:val="000000" w:themeColor="text1"/>
            <w:sz w:val="24"/>
            <w:szCs w:val="24"/>
          </w:rPr>
          <w:tab/>
        </w:r>
        <w:r w:rsidR="00F1265B" w:rsidRPr="00A214B0">
          <w:rPr>
            <w:color w:val="000000" w:themeColor="text1"/>
            <w:sz w:val="24"/>
            <w:szCs w:val="24"/>
          </w:rPr>
          <w:fldChar w:fldCharType="begin"/>
        </w:r>
        <w:r w:rsidR="00F1265B" w:rsidRPr="00A214B0">
          <w:rPr>
            <w:color w:val="000000" w:themeColor="text1"/>
            <w:sz w:val="24"/>
            <w:szCs w:val="24"/>
          </w:rPr>
          <w:instrText xml:space="preserve"> PAGEREF _Toc28473 </w:instrText>
        </w:r>
        <w:r w:rsidR="00F1265B" w:rsidRPr="00A214B0">
          <w:rPr>
            <w:color w:val="000000" w:themeColor="text1"/>
            <w:sz w:val="24"/>
            <w:szCs w:val="24"/>
          </w:rPr>
          <w:fldChar w:fldCharType="separate"/>
        </w:r>
        <w:r w:rsidR="00F1265B" w:rsidRPr="00A214B0">
          <w:rPr>
            <w:color w:val="000000" w:themeColor="text1"/>
            <w:sz w:val="24"/>
            <w:szCs w:val="24"/>
          </w:rPr>
          <w:t>111</w:t>
        </w:r>
        <w:r w:rsidR="00F1265B" w:rsidRPr="00A214B0">
          <w:rPr>
            <w:color w:val="000000" w:themeColor="text1"/>
            <w:sz w:val="24"/>
            <w:szCs w:val="24"/>
          </w:rPr>
          <w:fldChar w:fldCharType="end"/>
        </w:r>
      </w:hyperlink>
    </w:p>
    <w:p w:rsidR="00D56508" w:rsidRPr="00A214B0" w:rsidRDefault="00F1265B">
      <w:pPr>
        <w:pStyle w:val="23"/>
        <w:tabs>
          <w:tab w:val="right" w:leader="dot" w:pos="8494"/>
        </w:tabs>
        <w:adjustRightInd w:val="0"/>
        <w:snapToGrid w:val="0"/>
        <w:spacing w:line="360" w:lineRule="auto"/>
        <w:ind w:firstLineChars="200" w:firstLine="480"/>
        <w:rPr>
          <w:color w:val="000000" w:themeColor="text1"/>
        </w:rPr>
      </w:pPr>
      <w:r w:rsidRPr="00A214B0">
        <w:rPr>
          <w:color w:val="000000" w:themeColor="text1"/>
          <w:szCs w:val="24"/>
        </w:rPr>
        <w:fldChar w:fldCharType="end"/>
      </w:r>
    </w:p>
    <w:p w:rsidR="00D56508" w:rsidRPr="00A214B0" w:rsidRDefault="00D56508">
      <w:pPr>
        <w:tabs>
          <w:tab w:val="left" w:pos="950"/>
        </w:tabs>
        <w:jc w:val="left"/>
        <w:rPr>
          <w:rFonts w:ascii="Times New Roman" w:hAnsi="Times New Roman" w:cs="Times New Roman"/>
          <w:color w:val="000000" w:themeColor="text1"/>
        </w:rPr>
        <w:sectPr w:rsidR="00D56508" w:rsidRPr="00A214B0">
          <w:headerReference w:type="default" r:id="rId12"/>
          <w:footerReference w:type="default" r:id="rId13"/>
          <w:pgSz w:w="11906" w:h="16838"/>
          <w:pgMar w:top="1440" w:right="1276" w:bottom="1440" w:left="1797" w:header="567" w:footer="907" w:gutter="0"/>
          <w:pgNumType w:fmt="lowerRoman" w:start="1"/>
          <w:cols w:space="720"/>
          <w:docGrid w:type="lines" w:linePitch="500"/>
        </w:sectPr>
      </w:pPr>
    </w:p>
    <w:p w:rsidR="00D56508" w:rsidRPr="00A214B0" w:rsidRDefault="00F1265B">
      <w:pPr>
        <w:pStyle w:val="1"/>
        <w:adjustRightInd/>
        <w:spacing w:before="100" w:beforeAutospacing="1" w:after="100" w:afterAutospacing="1" w:line="360" w:lineRule="auto"/>
        <w:contextualSpacing/>
        <w:jc w:val="center"/>
        <w:rPr>
          <w:color w:val="000000" w:themeColor="text1"/>
          <w:sz w:val="36"/>
        </w:rPr>
      </w:pPr>
      <w:bookmarkStart w:id="1" w:name="_Toc503865026"/>
      <w:bookmarkStart w:id="2" w:name="_Toc11401"/>
      <w:r w:rsidRPr="00A214B0">
        <w:rPr>
          <w:color w:val="000000" w:themeColor="text1"/>
          <w:sz w:val="36"/>
        </w:rPr>
        <w:t>第一部分</w:t>
      </w:r>
      <w:r w:rsidRPr="00A214B0">
        <w:rPr>
          <w:color w:val="000000" w:themeColor="text1"/>
          <w:sz w:val="36"/>
        </w:rPr>
        <w:t xml:space="preserve"> </w:t>
      </w:r>
      <w:r w:rsidRPr="00A214B0">
        <w:rPr>
          <w:color w:val="000000" w:themeColor="text1"/>
          <w:sz w:val="36"/>
        </w:rPr>
        <w:t>关于评估说明使用范围的声明</w:t>
      </w:r>
      <w:bookmarkEnd w:id="1"/>
      <w:bookmarkEnd w:id="2"/>
    </w:p>
    <w:p w:rsidR="00D56508" w:rsidRPr="00A214B0" w:rsidRDefault="00D56508">
      <w:pPr>
        <w:snapToGrid w:val="0"/>
        <w:spacing w:line="360" w:lineRule="auto"/>
        <w:ind w:firstLineChars="200" w:firstLine="480"/>
        <w:rPr>
          <w:rFonts w:ascii="Times New Roman" w:hAnsi="Times New Roman" w:cs="Times New Roman"/>
          <w:color w:val="000000" w:themeColor="text1"/>
          <w:sz w:val="24"/>
        </w:rPr>
      </w:pPr>
    </w:p>
    <w:p w:rsidR="00D56508" w:rsidRPr="00A214B0" w:rsidRDefault="00D56508">
      <w:pPr>
        <w:snapToGrid w:val="0"/>
        <w:spacing w:line="360" w:lineRule="auto"/>
        <w:ind w:firstLineChars="200" w:firstLine="480"/>
        <w:rPr>
          <w:rFonts w:ascii="Times New Roman" w:hAnsi="Times New Roman" w:cs="Times New Roman"/>
          <w:color w:val="000000" w:themeColor="text1"/>
          <w:sz w:val="24"/>
        </w:rPr>
      </w:pPr>
    </w:p>
    <w:p w:rsidR="00D56508" w:rsidRPr="00A214B0" w:rsidRDefault="00D56508">
      <w:pPr>
        <w:snapToGrid w:val="0"/>
        <w:spacing w:line="360" w:lineRule="auto"/>
        <w:ind w:firstLineChars="200" w:firstLine="480"/>
        <w:rPr>
          <w:rFonts w:ascii="Times New Roman" w:hAnsi="Times New Roman" w:cs="Times New Roman"/>
          <w:color w:val="000000" w:themeColor="text1"/>
          <w:sz w:val="24"/>
        </w:rPr>
      </w:pP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评估说明供相关国有资产监管机构和部门使用。除法律法规规定外，材料的全部或者部分内容不得提供给其他任何单位和个人，不得见诸公开媒体。</w:t>
      </w:r>
    </w:p>
    <w:p w:rsidR="00D56508" w:rsidRPr="00A214B0" w:rsidRDefault="00D56508">
      <w:pPr>
        <w:spacing w:line="480" w:lineRule="auto"/>
        <w:ind w:firstLineChars="200" w:firstLine="480"/>
        <w:rPr>
          <w:rFonts w:ascii="Times New Roman" w:hAnsi="Times New Roman" w:cs="Times New Roman"/>
          <w:color w:val="000000" w:themeColor="text1"/>
          <w:sz w:val="24"/>
        </w:rPr>
      </w:pPr>
      <w:bookmarkStart w:id="3" w:name="_Toc448559696"/>
    </w:p>
    <w:p w:rsidR="00D56508" w:rsidRPr="00A214B0" w:rsidRDefault="00F1265B">
      <w:pPr>
        <w:wordWrap w:val="0"/>
        <w:spacing w:line="360" w:lineRule="auto"/>
        <w:ind w:firstLineChars="200" w:firstLine="480"/>
        <w:jc w:val="right"/>
        <w:rPr>
          <w:rFonts w:ascii="Times New Roman" w:hAnsi="Times New Roman" w:cs="Times New Roman"/>
          <w:color w:val="000000" w:themeColor="text1"/>
          <w:sz w:val="24"/>
        </w:rPr>
        <w:sectPr w:rsidR="00D56508" w:rsidRPr="00A214B0">
          <w:headerReference w:type="default" r:id="rId14"/>
          <w:footerReference w:type="default" r:id="rId15"/>
          <w:pgSz w:w="11906" w:h="16838"/>
          <w:pgMar w:top="1440" w:right="1276" w:bottom="1440" w:left="1797" w:header="567" w:footer="907" w:gutter="0"/>
          <w:pgNumType w:start="1"/>
          <w:cols w:space="720"/>
          <w:docGrid w:type="lines" w:linePitch="500"/>
        </w:sectPr>
      </w:pPr>
      <w:r w:rsidRPr="00A214B0">
        <w:rPr>
          <w:rFonts w:ascii="Times New Roman" w:hAnsi="Times New Roman" w:cs="Times New Roman"/>
          <w:color w:val="000000" w:themeColor="text1"/>
          <w:sz w:val="24"/>
        </w:rPr>
        <w:t xml:space="preserve">     </w:t>
      </w:r>
    </w:p>
    <w:p w:rsidR="00D56508" w:rsidRPr="00A214B0" w:rsidRDefault="00F1265B">
      <w:pPr>
        <w:pStyle w:val="1"/>
        <w:adjustRightInd/>
        <w:spacing w:before="100" w:beforeAutospacing="1" w:after="100" w:afterAutospacing="1" w:line="360" w:lineRule="auto"/>
        <w:contextualSpacing/>
        <w:jc w:val="center"/>
        <w:rPr>
          <w:color w:val="000000" w:themeColor="text1"/>
          <w:sz w:val="36"/>
        </w:rPr>
      </w:pPr>
      <w:bookmarkStart w:id="4" w:name="_Toc7523"/>
      <w:bookmarkStart w:id="5" w:name="_Toc503865027"/>
      <w:bookmarkEnd w:id="3"/>
      <w:r w:rsidRPr="00A214B0">
        <w:rPr>
          <w:color w:val="000000" w:themeColor="text1"/>
          <w:sz w:val="36"/>
        </w:rPr>
        <w:t>第二部分</w:t>
      </w:r>
      <w:r w:rsidRPr="00A214B0">
        <w:rPr>
          <w:color w:val="000000" w:themeColor="text1"/>
          <w:sz w:val="36"/>
        </w:rPr>
        <w:t xml:space="preserve"> </w:t>
      </w:r>
      <w:r w:rsidRPr="00A214B0">
        <w:rPr>
          <w:color w:val="000000" w:themeColor="text1"/>
          <w:sz w:val="36"/>
        </w:rPr>
        <w:t>关于进行资产评估有关事项的说明</w:t>
      </w:r>
      <w:bookmarkEnd w:id="4"/>
      <w:bookmarkEnd w:id="5"/>
    </w:p>
    <w:p w:rsidR="00D56508" w:rsidRPr="00A214B0" w:rsidRDefault="00F1265B">
      <w:pPr>
        <w:ind w:firstLineChars="200" w:firstLine="480"/>
        <w:jc w:val="left"/>
        <w:rPr>
          <w:rFonts w:ascii="Times New Roman" w:hAnsi="Times New Roman" w:cs="Times New Roman"/>
          <w:color w:val="000000" w:themeColor="text1"/>
          <w:sz w:val="24"/>
        </w:rPr>
      </w:pPr>
      <w:bookmarkStart w:id="6" w:name="_Hlk495304966"/>
      <w:r w:rsidRPr="00A214B0">
        <w:rPr>
          <w:rFonts w:ascii="Times New Roman" w:hAnsi="Times New Roman" w:cs="Times New Roman"/>
          <w:color w:val="000000" w:themeColor="text1"/>
          <w:sz w:val="24"/>
        </w:rPr>
        <w:t>此部分内容由</w:t>
      </w:r>
      <w:r w:rsidRPr="00A214B0">
        <w:rPr>
          <w:rFonts w:ascii="Times New Roman" w:hAnsi="Times New Roman" w:cs="Times New Roman" w:hint="eastAsia"/>
          <w:color w:val="000000" w:themeColor="text1"/>
          <w:sz w:val="24"/>
        </w:rPr>
        <w:t>委托人</w:t>
      </w:r>
      <w:r w:rsidRPr="00A214B0">
        <w:rPr>
          <w:rFonts w:ascii="Times New Roman" w:hAnsi="Times New Roman" w:cs="Times New Roman"/>
          <w:color w:val="000000" w:themeColor="text1"/>
          <w:sz w:val="24"/>
        </w:rPr>
        <w:t>及被评估单位提供，详细资料见本说明附件。</w:t>
      </w:r>
    </w:p>
    <w:p w:rsidR="00D56508" w:rsidRPr="00A214B0" w:rsidRDefault="00F1265B">
      <w:pPr>
        <w:ind w:firstLineChars="200" w:firstLine="480"/>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（此页无正文）</w:t>
      </w:r>
    </w:p>
    <w:p w:rsidR="00D56508" w:rsidRPr="00A214B0" w:rsidRDefault="00D56508">
      <w:pPr>
        <w:ind w:firstLineChars="1254" w:firstLine="3260"/>
        <w:rPr>
          <w:rFonts w:ascii="Times New Roman" w:hAnsi="Times New Roman" w:cs="Times New Roman"/>
          <w:color w:val="000000" w:themeColor="text1"/>
          <w:spacing w:val="10"/>
          <w:sz w:val="24"/>
        </w:rPr>
      </w:pPr>
    </w:p>
    <w:p w:rsidR="00D56508" w:rsidRPr="00A214B0" w:rsidRDefault="00F1265B">
      <w:pPr>
        <w:pStyle w:val="1"/>
        <w:adjustRightInd/>
        <w:spacing w:before="100" w:beforeAutospacing="1" w:after="100" w:afterAutospacing="1" w:line="360" w:lineRule="auto"/>
        <w:contextualSpacing/>
        <w:jc w:val="center"/>
        <w:rPr>
          <w:color w:val="000000" w:themeColor="text1"/>
          <w:sz w:val="36"/>
        </w:rPr>
      </w:pPr>
      <w:r w:rsidRPr="00A214B0">
        <w:rPr>
          <w:color w:val="000000" w:themeColor="text1"/>
          <w:spacing w:val="10"/>
          <w:sz w:val="24"/>
        </w:rPr>
        <w:br w:type="page"/>
      </w:r>
      <w:bookmarkStart w:id="7" w:name="_Toc503865028"/>
      <w:bookmarkStart w:id="8" w:name="_Toc3828"/>
      <w:bookmarkEnd w:id="6"/>
      <w:r w:rsidRPr="00A214B0">
        <w:rPr>
          <w:color w:val="000000" w:themeColor="text1"/>
          <w:sz w:val="36"/>
        </w:rPr>
        <w:t>第三部分</w:t>
      </w:r>
      <w:r w:rsidRPr="00A214B0">
        <w:rPr>
          <w:color w:val="000000" w:themeColor="text1"/>
          <w:sz w:val="36"/>
        </w:rPr>
        <w:t xml:space="preserve"> </w:t>
      </w:r>
      <w:r w:rsidRPr="00A214B0">
        <w:rPr>
          <w:color w:val="000000" w:themeColor="text1"/>
          <w:sz w:val="36"/>
        </w:rPr>
        <w:t>评估对象与评估范围及资产核实情况说明</w:t>
      </w:r>
      <w:bookmarkEnd w:id="7"/>
      <w:bookmarkEnd w:id="8"/>
    </w:p>
    <w:p w:rsidR="00D56508" w:rsidRPr="00A214B0" w:rsidRDefault="00F1265B">
      <w:pPr>
        <w:autoSpaceDE w:val="0"/>
        <w:autoSpaceDN w:val="0"/>
        <w:ind w:firstLineChars="200" w:firstLine="560"/>
        <w:jc w:val="left"/>
        <w:outlineLvl w:val="1"/>
        <w:rPr>
          <w:rFonts w:ascii="Times New Roman" w:eastAsia="黑体" w:hAnsi="Times New Roman" w:cs="Times New Roman"/>
          <w:color w:val="000000" w:themeColor="text1"/>
          <w:sz w:val="28"/>
          <w:szCs w:val="28"/>
        </w:rPr>
      </w:pPr>
      <w:bookmarkStart w:id="9" w:name="_Toc21456"/>
      <w:bookmarkStart w:id="10" w:name="_Toc503865029"/>
      <w:bookmarkStart w:id="11" w:name="_Toc448559706"/>
      <w:bookmarkStart w:id="12" w:name="_Toc536516223"/>
      <w:r w:rsidRPr="00A214B0">
        <w:rPr>
          <w:rFonts w:ascii="Times New Roman" w:eastAsia="黑体" w:hAnsi="Times New Roman" w:cs="Times New Roman"/>
          <w:color w:val="000000" w:themeColor="text1"/>
          <w:sz w:val="28"/>
          <w:szCs w:val="28"/>
        </w:rPr>
        <w:t>一、评估对象与评估范围说明</w:t>
      </w:r>
      <w:bookmarkEnd w:id="9"/>
      <w:bookmarkEnd w:id="10"/>
    </w:p>
    <w:p w:rsidR="00D56508" w:rsidRPr="00A214B0" w:rsidRDefault="00F1265B">
      <w:pPr>
        <w:autoSpaceDE w:val="0"/>
        <w:autoSpaceDN w:val="0"/>
        <w:ind w:firstLineChars="200" w:firstLine="480"/>
        <w:jc w:val="left"/>
        <w:outlineLvl w:val="1"/>
        <w:rPr>
          <w:rFonts w:ascii="Times New Roman" w:hAnsi="Times New Roman" w:cs="Times New Roman"/>
          <w:color w:val="000000" w:themeColor="text1"/>
          <w:kern w:val="0"/>
          <w:sz w:val="24"/>
          <w:szCs w:val="24"/>
        </w:rPr>
      </w:pPr>
      <w:bookmarkStart w:id="13" w:name="_Toc18114"/>
      <w:r w:rsidRPr="00A214B0">
        <w:rPr>
          <w:rFonts w:ascii="Times New Roman" w:hAnsi="Times New Roman" w:cs="Times New Roman"/>
          <w:color w:val="000000" w:themeColor="text1"/>
          <w:kern w:val="0"/>
          <w:sz w:val="24"/>
          <w:szCs w:val="24"/>
        </w:rPr>
        <w:t>（一）评估对象与评估范围内容</w:t>
      </w:r>
      <w:bookmarkEnd w:id="13"/>
    </w:p>
    <w:p w:rsidR="00D56508" w:rsidRPr="00A214B0" w:rsidRDefault="00F1265B">
      <w:pPr>
        <w:autoSpaceDE w:val="0"/>
        <w:autoSpaceDN w:val="0"/>
        <w:ind w:firstLineChars="200" w:firstLine="480"/>
        <w:jc w:val="left"/>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根据评估目的，本次评估对象为江苏海企化工仓储股份有限公司在评估基准日的</w:t>
      </w:r>
      <w:r w:rsidRPr="00A214B0">
        <w:rPr>
          <w:rFonts w:ascii="Times New Roman" w:hAnsi="Times New Roman" w:cs="Times New Roman"/>
          <w:color w:val="000000" w:themeColor="text1"/>
          <w:kern w:val="0"/>
          <w:sz w:val="24"/>
          <w:szCs w:val="24"/>
        </w:rPr>
        <w:t>3.0425%</w:t>
      </w:r>
      <w:r w:rsidRPr="00A214B0">
        <w:rPr>
          <w:rFonts w:ascii="Times New Roman" w:hAnsi="Times New Roman" w:cs="Times New Roman"/>
          <w:color w:val="000000" w:themeColor="text1"/>
          <w:kern w:val="0"/>
          <w:sz w:val="24"/>
          <w:szCs w:val="24"/>
        </w:rPr>
        <w:t>股权价值。</w:t>
      </w:r>
    </w:p>
    <w:p w:rsidR="00D56508" w:rsidRPr="00A214B0" w:rsidRDefault="00F1265B">
      <w:pPr>
        <w:autoSpaceDE w:val="0"/>
        <w:autoSpaceDN w:val="0"/>
        <w:ind w:firstLineChars="200" w:firstLine="480"/>
        <w:jc w:val="left"/>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评估范围是江苏海企化工仓储股份有限公司在评估基准日的全部资产及负债。总资产账面值为</w:t>
      </w:r>
      <w:r w:rsidRPr="00A214B0">
        <w:rPr>
          <w:rFonts w:ascii="Times New Roman" w:hAnsi="Times New Roman" w:cs="Times New Roman"/>
          <w:color w:val="000000" w:themeColor="text1"/>
          <w:kern w:val="0"/>
          <w:sz w:val="24"/>
          <w:szCs w:val="24"/>
        </w:rPr>
        <w:t xml:space="preserve"> 43,474.73 </w:t>
      </w:r>
      <w:r w:rsidRPr="00A214B0">
        <w:rPr>
          <w:rFonts w:ascii="Times New Roman" w:hAnsi="Times New Roman" w:cs="Times New Roman"/>
          <w:color w:val="000000" w:themeColor="text1"/>
          <w:kern w:val="0"/>
          <w:sz w:val="24"/>
          <w:szCs w:val="24"/>
        </w:rPr>
        <w:t>万元，总负债账面价值为</w:t>
      </w:r>
      <w:r w:rsidRPr="00A214B0">
        <w:rPr>
          <w:rFonts w:ascii="Times New Roman" w:hAnsi="Times New Roman" w:cs="Times New Roman"/>
          <w:color w:val="000000" w:themeColor="text1"/>
          <w:kern w:val="0"/>
          <w:sz w:val="24"/>
          <w:szCs w:val="24"/>
        </w:rPr>
        <w:t xml:space="preserve"> 18,207.72 </w:t>
      </w:r>
      <w:r w:rsidRPr="00A214B0">
        <w:rPr>
          <w:rFonts w:ascii="Times New Roman" w:hAnsi="Times New Roman" w:cs="Times New Roman"/>
          <w:color w:val="000000" w:themeColor="text1"/>
          <w:kern w:val="0"/>
          <w:sz w:val="24"/>
          <w:szCs w:val="24"/>
        </w:rPr>
        <w:t>万元，净资产账面价值为</w:t>
      </w:r>
      <w:r w:rsidRPr="00A214B0">
        <w:rPr>
          <w:rFonts w:ascii="Times New Roman" w:hAnsi="Times New Roman" w:cs="Times New Roman"/>
          <w:color w:val="000000" w:themeColor="text1"/>
          <w:kern w:val="0"/>
          <w:sz w:val="24"/>
          <w:szCs w:val="24"/>
        </w:rPr>
        <w:t>25,267.00</w:t>
      </w:r>
      <w:r w:rsidRPr="00A214B0">
        <w:rPr>
          <w:rFonts w:ascii="Times New Roman" w:hAnsi="Times New Roman" w:cs="Times New Roman"/>
          <w:color w:val="000000" w:themeColor="text1"/>
          <w:kern w:val="0"/>
          <w:sz w:val="24"/>
          <w:szCs w:val="24"/>
        </w:rPr>
        <w:t>万元。具体包括：流动资产、长期股权投资、固定资产、在建工程、无形资产、长期待摊费用、递延所得税资产、其他非流动资产和流动负债、非流动负债。</w:t>
      </w:r>
    </w:p>
    <w:p w:rsidR="00D56508" w:rsidRPr="00A214B0" w:rsidRDefault="00F1265B">
      <w:pPr>
        <w:autoSpaceDE w:val="0"/>
        <w:autoSpaceDN w:val="0"/>
        <w:ind w:firstLineChars="200" w:firstLine="480"/>
        <w:jc w:val="left"/>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评估范围涉及的资产、负债的账面价值详见下表：</w:t>
      </w:r>
    </w:p>
    <w:p w:rsidR="00D56508" w:rsidRPr="00A214B0" w:rsidRDefault="00F1265B">
      <w:pPr>
        <w:autoSpaceDE w:val="0"/>
        <w:autoSpaceDN w:val="0"/>
        <w:jc w:val="center"/>
        <w:rPr>
          <w:rFonts w:ascii="Times New Roman" w:hAnsi="Times New Roman" w:cs="Times New Roman"/>
          <w:b/>
          <w:color w:val="000000" w:themeColor="text1"/>
          <w:sz w:val="24"/>
        </w:rPr>
      </w:pPr>
      <w:r w:rsidRPr="00A214B0">
        <w:rPr>
          <w:rFonts w:ascii="Times New Roman" w:hAnsi="Times New Roman" w:cs="Times New Roman"/>
          <w:b/>
          <w:color w:val="000000" w:themeColor="text1"/>
          <w:sz w:val="24"/>
        </w:rPr>
        <w:t>资产负债表</w:t>
      </w:r>
    </w:p>
    <w:p w:rsidR="00D56508" w:rsidRPr="00A214B0" w:rsidRDefault="00F1265B">
      <w:pPr>
        <w:wordWrap w:val="0"/>
        <w:snapToGrid w:val="0"/>
        <w:spacing w:line="360" w:lineRule="auto"/>
        <w:ind w:firstLineChars="200" w:firstLine="420"/>
        <w:contextualSpacing/>
        <w:jc w:val="right"/>
        <w:rPr>
          <w:rFonts w:ascii="Times New Roman" w:hAnsi="Times New Roman" w:cs="Times New Roman"/>
          <w:color w:val="000000" w:themeColor="text1"/>
        </w:rPr>
      </w:pPr>
      <w:r w:rsidRPr="00A214B0">
        <w:rPr>
          <w:rFonts w:ascii="Times New Roman" w:hAnsi="Times New Roman" w:cs="Times New Roman"/>
          <w:color w:val="000000" w:themeColor="text1"/>
        </w:rPr>
        <w:t>评估基准日：</w:t>
      </w:r>
      <w:r w:rsidRPr="00A214B0">
        <w:rPr>
          <w:rFonts w:ascii="Times New Roman" w:hAnsi="Times New Roman" w:cs="Times New Roman"/>
          <w:color w:val="000000" w:themeColor="text1"/>
        </w:rPr>
        <w:t>2019</w:t>
      </w:r>
      <w:r w:rsidRPr="00A214B0">
        <w:rPr>
          <w:rFonts w:ascii="Times New Roman" w:hAnsi="Times New Roman" w:cs="Times New Roman"/>
          <w:color w:val="000000" w:themeColor="text1"/>
        </w:rPr>
        <w:t>年</w:t>
      </w:r>
      <w:r w:rsidRPr="00A214B0">
        <w:rPr>
          <w:rFonts w:ascii="Times New Roman" w:hAnsi="Times New Roman" w:cs="Times New Roman"/>
          <w:color w:val="000000" w:themeColor="text1"/>
        </w:rPr>
        <w:t>4</w:t>
      </w:r>
      <w:r w:rsidRPr="00A214B0">
        <w:rPr>
          <w:rFonts w:ascii="Times New Roman" w:hAnsi="Times New Roman" w:cs="Times New Roman"/>
          <w:color w:val="000000" w:themeColor="text1"/>
        </w:rPr>
        <w:t>月</w:t>
      </w:r>
      <w:r w:rsidRPr="00A214B0">
        <w:rPr>
          <w:rFonts w:ascii="Times New Roman" w:hAnsi="Times New Roman" w:cs="Times New Roman"/>
          <w:color w:val="000000" w:themeColor="text1"/>
        </w:rPr>
        <w:t>30</w:t>
      </w:r>
      <w:r w:rsidRPr="00A214B0">
        <w:rPr>
          <w:rFonts w:ascii="Times New Roman" w:hAnsi="Times New Roman" w:cs="Times New Roman"/>
          <w:color w:val="000000" w:themeColor="text1"/>
        </w:rPr>
        <w:t>日</w:t>
      </w:r>
      <w:r w:rsidRPr="00A214B0">
        <w:rPr>
          <w:rFonts w:ascii="Times New Roman" w:hAnsi="Times New Roman" w:cs="Times New Roman"/>
          <w:color w:val="000000" w:themeColor="text1"/>
        </w:rPr>
        <w:t xml:space="preserve">                                 </w:t>
      </w:r>
      <w:r w:rsidRPr="00A214B0">
        <w:rPr>
          <w:rFonts w:ascii="Times New Roman" w:hAnsi="Times New Roman" w:cs="Times New Roman"/>
          <w:color w:val="000000" w:themeColor="text1"/>
        </w:rPr>
        <w:t>金额单位：人民币元</w:t>
      </w:r>
    </w:p>
    <w:tbl>
      <w:tblPr>
        <w:tblW w:w="8804" w:type="dxa"/>
        <w:tblLayout w:type="fixed"/>
        <w:tblCellMar>
          <w:top w:w="15" w:type="dxa"/>
          <w:left w:w="15" w:type="dxa"/>
          <w:bottom w:w="15" w:type="dxa"/>
          <w:right w:w="15" w:type="dxa"/>
        </w:tblCellMar>
        <w:tblLook w:val="04A0" w:firstRow="1" w:lastRow="0" w:firstColumn="1" w:lastColumn="0" w:noHBand="0" w:noVBand="1"/>
      </w:tblPr>
      <w:tblGrid>
        <w:gridCol w:w="2709"/>
        <w:gridCol w:w="1693"/>
        <w:gridCol w:w="2701"/>
        <w:gridCol w:w="1701"/>
      </w:tblGrid>
      <w:tr w:rsidR="00D56508" w:rsidRPr="00A214B0">
        <w:trPr>
          <w:trHeight w:val="285"/>
          <w:tblHeader/>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jc w:val="center"/>
              <w:rPr>
                <w:rFonts w:ascii="Times New Roman" w:hAnsi="Times New Roman" w:cs="Times New Roman"/>
                <w:bCs/>
                <w:color w:val="000000" w:themeColor="text1"/>
                <w:sz w:val="18"/>
                <w:szCs w:val="18"/>
              </w:rPr>
            </w:pPr>
            <w:r w:rsidRPr="00A214B0">
              <w:rPr>
                <w:rFonts w:ascii="Times New Roman" w:hAnsi="Times New Roman" w:cs="Times New Roman"/>
                <w:bCs/>
                <w:color w:val="000000" w:themeColor="text1"/>
                <w:sz w:val="18"/>
                <w:szCs w:val="18"/>
              </w:rPr>
              <w:t>期末数</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负债和所有者权益</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jc w:val="center"/>
              <w:rPr>
                <w:rFonts w:ascii="Times New Roman" w:hAnsi="Times New Roman" w:cs="Times New Roman"/>
                <w:bCs/>
                <w:color w:val="000000" w:themeColor="text1"/>
                <w:sz w:val="18"/>
                <w:szCs w:val="18"/>
              </w:rPr>
            </w:pPr>
            <w:r w:rsidRPr="00A214B0">
              <w:rPr>
                <w:rFonts w:ascii="Times New Roman" w:hAnsi="Times New Roman" w:cs="Times New Roman"/>
                <w:bCs/>
                <w:color w:val="000000" w:themeColor="text1"/>
                <w:sz w:val="18"/>
                <w:szCs w:val="18"/>
              </w:rPr>
              <w:t>期末数</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流动资产：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D56508">
            <w:pPr>
              <w:widowControl/>
              <w:jc w:val="center"/>
              <w:textAlignment w:val="center"/>
              <w:rPr>
                <w:rFonts w:ascii="Times New Roman" w:eastAsia="宋体" w:hAnsi="Times New Roman" w:cs="Times New Roman"/>
                <w:bCs/>
                <w:color w:val="000000" w:themeColor="text1"/>
                <w:kern w:val="0"/>
                <w:sz w:val="20"/>
                <w:szCs w:val="20"/>
                <w:lang w:bidi="ar"/>
              </w:rPr>
            </w:pP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流动负债：</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D56508">
            <w:pPr>
              <w:widowControl/>
              <w:jc w:val="center"/>
              <w:textAlignment w:val="center"/>
              <w:rPr>
                <w:rFonts w:ascii="Times New Roman" w:eastAsia="宋体" w:hAnsi="Times New Roman" w:cs="Times New Roman"/>
                <w:bCs/>
                <w:color w:val="000000" w:themeColor="text1"/>
                <w:kern w:val="0"/>
                <w:sz w:val="20"/>
                <w:szCs w:val="20"/>
                <w:lang w:bidi="ar"/>
              </w:rPr>
            </w:pP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tabs>
                <w:tab w:val="left" w:pos="1530"/>
              </w:tabs>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货币资金</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12,905,365.56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短期借款</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57,500,000.00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600" w:firstLine="1080"/>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应收票据</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5,630,400.34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200" w:firstLine="36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应付账款</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4,892,928.70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应收账款</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12,256,698.00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预收款项</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1,419,374.00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预付款项</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516,151.24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应付职工薪酬</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1,518,766.54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其他应收款</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12,722,755.03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应交税费</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417,815.74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其中：应收股利</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2,135,546.99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其他应付款</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115,318,335.57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存货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629,742.54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一年内到期的非流动负债</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一年内到期的非流动资产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流动负债合计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181,067,220.55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其他流动资产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4,165,095.16</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长期应付款：</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流动资产合计</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48,826,207.87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递延所得税负债：</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非流动资产：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D56508">
            <w:pPr>
              <w:widowControl/>
              <w:jc w:val="center"/>
              <w:textAlignment w:val="center"/>
              <w:rPr>
                <w:rFonts w:ascii="Times New Roman" w:eastAsia="宋体" w:hAnsi="Times New Roman" w:cs="Times New Roman"/>
                <w:bCs/>
                <w:color w:val="000000" w:themeColor="text1"/>
                <w:kern w:val="0"/>
                <w:sz w:val="20"/>
                <w:szCs w:val="20"/>
                <w:lang w:bidi="ar"/>
              </w:rPr>
            </w:pP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其他非流动负债</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1,010,000.00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可供出售金融资产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D56508">
            <w:pPr>
              <w:widowControl/>
              <w:jc w:val="center"/>
              <w:textAlignment w:val="center"/>
              <w:rPr>
                <w:rFonts w:ascii="Times New Roman" w:eastAsia="宋体" w:hAnsi="Times New Roman" w:cs="Times New Roman"/>
                <w:bCs/>
                <w:color w:val="000000" w:themeColor="text1"/>
                <w:kern w:val="0"/>
                <w:sz w:val="20"/>
                <w:szCs w:val="20"/>
                <w:lang w:bidi="ar"/>
              </w:rPr>
            </w:pP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非流动负债合计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1,010,000.00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长期股权投资</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38,345,814.12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负债合计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182,077,220.55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固定资产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310,832,027.83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200" w:firstLine="36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实收资本</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200,000,000.00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在建工程</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8,265,423.32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200" w:firstLine="36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资本公积</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16,264,453.78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无形资产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20,677,071.20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200" w:firstLine="36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专项储备</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61,290.95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长期待摊费用</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1,592,946.41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盈余公积</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7,807,291.27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递延所得税资产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1,207,772.36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未分配利润</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28,537,006.56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其他非流动资产</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5,000,000.00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归属于母公司股东权益合计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非流动资产合计</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385,921,055.24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股东权益合计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252,670,042.56   </w:t>
            </w:r>
          </w:p>
        </w:tc>
      </w:tr>
      <w:tr w:rsidR="00D56508" w:rsidRPr="00A214B0">
        <w:trPr>
          <w:trHeight w:val="285"/>
        </w:trPr>
        <w:tc>
          <w:tcPr>
            <w:tcW w:w="2709"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资产总计</w:t>
            </w:r>
          </w:p>
        </w:tc>
        <w:tc>
          <w:tcPr>
            <w:tcW w:w="1693"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434,747,263.11  </w:t>
            </w:r>
          </w:p>
        </w:tc>
        <w:tc>
          <w:tcPr>
            <w:tcW w:w="2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ind w:firstLineChars="100" w:firstLine="180"/>
              <w:jc w:val="center"/>
              <w:textAlignment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负债和股东权益总计</w:t>
            </w:r>
          </w:p>
        </w:tc>
        <w:tc>
          <w:tcPr>
            <w:tcW w:w="1701" w:type="dxa"/>
            <w:tcBorders>
              <w:top w:val="single" w:sz="4" w:space="0" w:color="000000"/>
              <w:left w:val="single" w:sz="4" w:space="0" w:color="000000"/>
              <w:bottom w:val="single" w:sz="4" w:space="0" w:color="000000"/>
              <w:right w:val="single" w:sz="4" w:space="0" w:color="000000"/>
            </w:tcBorders>
            <w:vAlign w:val="center"/>
          </w:tcPr>
          <w:p w:rsidR="00D56508" w:rsidRPr="00A214B0" w:rsidRDefault="00F1265B">
            <w:pPr>
              <w:widowControl/>
              <w:jc w:val="center"/>
              <w:textAlignment w:val="center"/>
              <w:rPr>
                <w:rFonts w:ascii="Times New Roman" w:eastAsia="宋体" w:hAnsi="Times New Roman" w:cs="Times New Roman"/>
                <w:bCs/>
                <w:color w:val="000000" w:themeColor="text1"/>
                <w:kern w:val="0"/>
                <w:sz w:val="20"/>
                <w:szCs w:val="20"/>
                <w:lang w:bidi="ar"/>
              </w:rPr>
            </w:pPr>
            <w:r w:rsidRPr="00A214B0">
              <w:rPr>
                <w:rFonts w:ascii="Times New Roman" w:eastAsia="宋体" w:hAnsi="Times New Roman" w:cs="Times New Roman"/>
                <w:bCs/>
                <w:color w:val="000000" w:themeColor="text1"/>
                <w:kern w:val="0"/>
                <w:sz w:val="20"/>
                <w:szCs w:val="20"/>
                <w:lang w:bidi="ar"/>
              </w:rPr>
              <w:t xml:space="preserve"> 434,747,263.11  </w:t>
            </w:r>
          </w:p>
        </w:tc>
      </w:tr>
    </w:tbl>
    <w:p w:rsidR="00D56508" w:rsidRPr="00A214B0" w:rsidRDefault="00F1265B" w:rsidP="00126AB4">
      <w:pPr>
        <w:adjustRightInd w:val="0"/>
        <w:snapToGrid w:val="0"/>
        <w:spacing w:beforeLines="50" w:before="250"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上述被评估单位评估基准日的资产、负债账面价值已经天衡会计师事务所审计，出具了标准无保留意见的（天衡审字（</w:t>
      </w:r>
      <w:r w:rsidRPr="00A214B0">
        <w:rPr>
          <w:rFonts w:ascii="Times New Roman" w:hAnsi="Times New Roman" w:cs="Times New Roman" w:hint="eastAsia"/>
          <w:color w:val="000000" w:themeColor="text1"/>
          <w:sz w:val="24"/>
        </w:rPr>
        <w:t>2019</w:t>
      </w:r>
      <w:r w:rsidRPr="00A214B0">
        <w:rPr>
          <w:rFonts w:ascii="Times New Roman" w:hAnsi="Times New Roman" w:cs="Times New Roman" w:hint="eastAsia"/>
          <w:color w:val="000000" w:themeColor="text1"/>
          <w:sz w:val="24"/>
        </w:rPr>
        <w:t>）</w:t>
      </w:r>
      <w:r w:rsidRPr="00A214B0">
        <w:rPr>
          <w:rFonts w:ascii="Times New Roman" w:hAnsi="Times New Roman" w:cs="Times New Roman" w:hint="eastAsia"/>
          <w:color w:val="000000" w:themeColor="text1"/>
          <w:sz w:val="24"/>
        </w:rPr>
        <w:t>02296</w:t>
      </w:r>
      <w:r w:rsidRPr="00A214B0">
        <w:rPr>
          <w:rFonts w:ascii="Times New Roman" w:hAnsi="Times New Roman" w:cs="Times New Roman" w:hint="eastAsia"/>
          <w:color w:val="000000" w:themeColor="text1"/>
          <w:sz w:val="24"/>
        </w:rPr>
        <w:t>号）审计报告。我们履行了包括勘查、盘点及函证等相关评估程序进行了核实，核实结果一致。</w:t>
      </w:r>
    </w:p>
    <w:p w:rsidR="00D56508" w:rsidRPr="00A214B0" w:rsidRDefault="00F1265B">
      <w:pPr>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委托评估对象和评估范围与本次经济行为涉及的评估对象和评估范围一致。</w:t>
      </w:r>
    </w:p>
    <w:p w:rsidR="00D56508" w:rsidRPr="00A214B0" w:rsidRDefault="00F1265B">
      <w:pPr>
        <w:adjustRightInd w:val="0"/>
        <w:snapToGrid w:val="0"/>
        <w:spacing w:line="360" w:lineRule="auto"/>
        <w:ind w:firstLineChars="200" w:firstLine="480"/>
        <w:contextualSpacing/>
        <w:outlineLvl w:val="1"/>
        <w:rPr>
          <w:rFonts w:ascii="Times New Roman" w:hAnsi="Times New Roman" w:cs="Times New Roman"/>
          <w:color w:val="000000" w:themeColor="text1"/>
          <w:sz w:val="24"/>
        </w:rPr>
      </w:pPr>
      <w:bookmarkStart w:id="14" w:name="_Toc16072"/>
      <w:r w:rsidRPr="00A214B0">
        <w:rPr>
          <w:rFonts w:ascii="Times New Roman" w:hAnsi="Times New Roman" w:cs="Times New Roman"/>
          <w:color w:val="000000" w:themeColor="text1"/>
          <w:sz w:val="24"/>
        </w:rPr>
        <w:t>（二）对企业价值影响较大的实物资产情况。</w:t>
      </w:r>
      <w:bookmarkEnd w:id="14"/>
    </w:p>
    <w:p w:rsidR="00D56508" w:rsidRPr="00A214B0" w:rsidRDefault="00F1265B">
      <w:pPr>
        <w:pStyle w:val="a1"/>
        <w:adjustRightInd w:val="0"/>
        <w:snapToGrid w:val="0"/>
        <w:spacing w:line="360" w:lineRule="auto"/>
        <w:ind w:firstLineChars="200" w:firstLine="480"/>
        <w:outlineLvl w:val="2"/>
        <w:rPr>
          <w:rFonts w:eastAsiaTheme="minorEastAsia"/>
          <w:color w:val="000000" w:themeColor="text1"/>
          <w:lang w:val="en-US"/>
        </w:rPr>
      </w:pPr>
      <w:bookmarkStart w:id="15" w:name="_Toc25555"/>
      <w:r w:rsidRPr="00A214B0">
        <w:rPr>
          <w:rFonts w:eastAsiaTheme="minorEastAsia"/>
          <w:color w:val="000000" w:themeColor="text1"/>
          <w:lang w:val="en-US"/>
        </w:rPr>
        <w:t>1</w:t>
      </w:r>
      <w:r w:rsidRPr="00A214B0">
        <w:rPr>
          <w:rFonts w:eastAsiaTheme="minorEastAsia"/>
          <w:color w:val="000000" w:themeColor="text1"/>
          <w:lang w:val="en-US"/>
        </w:rPr>
        <w:t>、存货</w:t>
      </w:r>
      <w:bookmarkEnd w:id="15"/>
    </w:p>
    <w:p w:rsidR="00D56508" w:rsidRPr="00A214B0" w:rsidRDefault="00F1265B">
      <w:pPr>
        <w:pStyle w:val="a1"/>
        <w:adjustRightInd w:val="0"/>
        <w:snapToGrid w:val="0"/>
        <w:spacing w:line="360" w:lineRule="auto"/>
        <w:ind w:firstLineChars="200" w:firstLine="480"/>
        <w:rPr>
          <w:color w:val="000000" w:themeColor="text1"/>
          <w:lang w:val="en-US"/>
        </w:rPr>
      </w:pPr>
      <w:r w:rsidRPr="00A214B0">
        <w:rPr>
          <w:color w:val="000000" w:themeColor="text1"/>
          <w:lang w:val="en-US"/>
        </w:rPr>
        <w:t>评估基准日，评估范围内的存货账面余额为</w:t>
      </w:r>
      <w:r w:rsidRPr="00A214B0">
        <w:rPr>
          <w:color w:val="000000" w:themeColor="text1"/>
          <w:lang w:val="en-US"/>
        </w:rPr>
        <w:t xml:space="preserve"> 629,742.54 </w:t>
      </w:r>
      <w:r w:rsidRPr="00A214B0">
        <w:rPr>
          <w:color w:val="000000" w:themeColor="text1"/>
          <w:lang w:val="en-US"/>
        </w:rPr>
        <w:t>元，计提存货跌价准备</w:t>
      </w:r>
      <w:r w:rsidRPr="00A214B0">
        <w:rPr>
          <w:color w:val="000000" w:themeColor="text1"/>
          <w:lang w:val="en-US"/>
        </w:rPr>
        <w:t>0</w:t>
      </w:r>
      <w:r w:rsidRPr="00A214B0">
        <w:rPr>
          <w:color w:val="000000" w:themeColor="text1"/>
          <w:lang w:val="en-US"/>
        </w:rPr>
        <w:t>元，账面价值</w:t>
      </w:r>
      <w:r w:rsidRPr="00A214B0">
        <w:rPr>
          <w:color w:val="000000" w:themeColor="text1"/>
          <w:lang w:val="en-US"/>
        </w:rPr>
        <w:t xml:space="preserve"> 629,742.54 </w:t>
      </w:r>
      <w:r w:rsidRPr="00A214B0">
        <w:rPr>
          <w:color w:val="000000" w:themeColor="text1"/>
          <w:lang w:val="en-US"/>
        </w:rPr>
        <w:t>元。存货主要为在库周转材料，包括办公用品、库区及码头用品及办公耗材等低值易耗品，存货均存放在被评估单位库房内，保存良好。</w:t>
      </w:r>
    </w:p>
    <w:p w:rsidR="00D56508" w:rsidRPr="00A214B0" w:rsidRDefault="00D50ECF">
      <w:pPr>
        <w:adjustRightInd w:val="0"/>
        <w:snapToGrid w:val="0"/>
        <w:spacing w:line="360" w:lineRule="auto"/>
        <w:ind w:firstLineChars="200" w:firstLine="480"/>
        <w:outlineLvl w:val="2"/>
        <w:rPr>
          <w:rFonts w:ascii="Times New Roman" w:hAnsi="Times New Roman" w:cs="Times New Roman"/>
          <w:color w:val="000000" w:themeColor="text1"/>
          <w:sz w:val="24"/>
          <w:szCs w:val="24"/>
        </w:rPr>
      </w:pPr>
      <w:bookmarkStart w:id="16" w:name="_Toc16183"/>
      <w:bookmarkStart w:id="17" w:name="_Toc503865030"/>
      <w:r w:rsidRPr="00A214B0">
        <w:rPr>
          <w:rFonts w:ascii="Times New Roman" w:hAnsi="Times New Roman" w:cs="Times New Roman"/>
          <w:color w:val="000000" w:themeColor="text1"/>
          <w:sz w:val="24"/>
          <w:szCs w:val="24"/>
        </w:rPr>
        <w:t>2</w:t>
      </w:r>
      <w:r w:rsidR="00F1265B" w:rsidRPr="00A214B0">
        <w:rPr>
          <w:rFonts w:ascii="Times New Roman" w:hAnsi="Times New Roman" w:cs="Times New Roman"/>
          <w:color w:val="000000" w:themeColor="text1"/>
          <w:sz w:val="24"/>
          <w:szCs w:val="24"/>
        </w:rPr>
        <w:t>、房屋类资产</w:t>
      </w:r>
      <w:bookmarkEnd w:id="16"/>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评估基准日，评估范围内的房屋建筑物</w:t>
      </w:r>
      <w:r w:rsidRPr="00A214B0">
        <w:rPr>
          <w:rFonts w:ascii="Times New Roman" w:eastAsia="宋体" w:hAnsi="Times New Roman" w:cs="Times New Roman"/>
          <w:color w:val="000000" w:themeColor="text1"/>
          <w:sz w:val="24"/>
          <w:szCs w:val="24"/>
        </w:rPr>
        <w:t>13</w:t>
      </w:r>
      <w:r w:rsidRPr="00A214B0">
        <w:rPr>
          <w:rFonts w:ascii="Times New Roman" w:eastAsia="宋体" w:hAnsi="Times New Roman" w:cs="Times New Roman"/>
          <w:color w:val="000000" w:themeColor="text1"/>
          <w:sz w:val="24"/>
          <w:szCs w:val="24"/>
        </w:rPr>
        <w:t>项，包括行政办公楼、生活楼、综合楼等，位于江苏省泰州市高港区永安洲镇疏港一路</w:t>
      </w: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号，分布于一期和二期厂区内，建于</w:t>
      </w:r>
      <w:r w:rsidRPr="00A214B0">
        <w:rPr>
          <w:rFonts w:ascii="Times New Roman" w:eastAsia="宋体" w:hAnsi="Times New Roman" w:cs="Times New Roman"/>
          <w:color w:val="000000" w:themeColor="text1"/>
          <w:sz w:val="24"/>
          <w:szCs w:val="24"/>
        </w:rPr>
        <w:t>2008</w:t>
      </w:r>
      <w:r w:rsidRPr="00A214B0">
        <w:rPr>
          <w:rFonts w:ascii="Times New Roman" w:eastAsia="宋体" w:hAnsi="Times New Roman" w:cs="Times New Roman"/>
          <w:color w:val="000000" w:themeColor="text1"/>
          <w:sz w:val="24"/>
          <w:szCs w:val="24"/>
        </w:rPr>
        <w:t>年至</w:t>
      </w:r>
      <w:r w:rsidRPr="00A214B0">
        <w:rPr>
          <w:rFonts w:ascii="Times New Roman" w:eastAsia="宋体" w:hAnsi="Times New Roman" w:cs="Times New Roman"/>
          <w:color w:val="000000" w:themeColor="text1"/>
          <w:sz w:val="24"/>
          <w:szCs w:val="24"/>
        </w:rPr>
        <w:t>2017</w:t>
      </w:r>
      <w:r w:rsidRPr="00A214B0">
        <w:rPr>
          <w:rFonts w:ascii="Times New Roman" w:eastAsia="宋体" w:hAnsi="Times New Roman" w:cs="Times New Roman"/>
          <w:color w:val="000000" w:themeColor="text1"/>
          <w:sz w:val="24"/>
          <w:szCs w:val="24"/>
        </w:rPr>
        <w:t>年期间，主要为框架、混合结构，总建筑面积</w:t>
      </w:r>
      <w:r w:rsidRPr="00A214B0">
        <w:rPr>
          <w:rFonts w:ascii="Times New Roman" w:eastAsia="宋体" w:hAnsi="Times New Roman" w:cs="Times New Roman"/>
          <w:color w:val="000000" w:themeColor="text1"/>
          <w:sz w:val="24"/>
          <w:szCs w:val="24"/>
        </w:rPr>
        <w:t>5,011.89</w:t>
      </w:r>
      <w:r w:rsidRPr="00A214B0">
        <w:rPr>
          <w:rFonts w:ascii="Times New Roman" w:eastAsia="宋体" w:hAnsi="Times New Roman" w:cs="Times New Roman"/>
          <w:color w:val="000000" w:themeColor="text1"/>
          <w:sz w:val="24"/>
          <w:szCs w:val="24"/>
        </w:rPr>
        <w:t>平方米。委估房屋中取得不动产权证的共计</w:t>
      </w: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项，面积</w:t>
      </w:r>
      <w:r w:rsidRPr="00A214B0">
        <w:rPr>
          <w:rFonts w:ascii="Times New Roman" w:eastAsia="宋体" w:hAnsi="Times New Roman" w:cs="Times New Roman"/>
          <w:color w:val="000000" w:themeColor="text1"/>
          <w:sz w:val="24"/>
          <w:szCs w:val="24"/>
        </w:rPr>
        <w:t>1,345.57</w:t>
      </w:r>
      <w:r w:rsidRPr="00A214B0">
        <w:rPr>
          <w:rFonts w:ascii="Times New Roman" w:eastAsia="宋体" w:hAnsi="Times New Roman" w:cs="Times New Roman"/>
          <w:color w:val="000000" w:themeColor="text1"/>
          <w:sz w:val="24"/>
          <w:szCs w:val="24"/>
        </w:rPr>
        <w:t>平方米。委估房屋中有</w:t>
      </w: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项房屋取得了建设工程规划许可证，面积</w:t>
      </w:r>
      <w:r w:rsidRPr="00A214B0">
        <w:rPr>
          <w:rFonts w:ascii="Times New Roman" w:eastAsia="宋体" w:hAnsi="Times New Roman" w:cs="Times New Roman"/>
          <w:color w:val="000000" w:themeColor="text1"/>
          <w:sz w:val="24"/>
          <w:szCs w:val="24"/>
        </w:rPr>
        <w:t>2,660.00</w:t>
      </w:r>
      <w:r w:rsidRPr="00A214B0">
        <w:rPr>
          <w:rFonts w:ascii="Times New Roman" w:eastAsia="宋体" w:hAnsi="Times New Roman" w:cs="Times New Roman"/>
          <w:color w:val="000000" w:themeColor="text1"/>
          <w:sz w:val="24"/>
          <w:szCs w:val="24"/>
        </w:rPr>
        <w:t>平方米。其他房屋未取得不动产权证或建设工程规划许可证。</w:t>
      </w:r>
    </w:p>
    <w:p w:rsidR="00D56508" w:rsidRPr="00A214B0" w:rsidRDefault="00F1265B">
      <w:pPr>
        <w:adjustRightInd w:val="0"/>
        <w:snapToGrid w:val="0"/>
        <w:spacing w:line="360" w:lineRule="auto"/>
        <w:ind w:firstLineChars="200" w:firstLine="480"/>
        <w:rPr>
          <w:color w:val="000000" w:themeColor="text1"/>
        </w:rPr>
      </w:pPr>
      <w:r w:rsidRPr="00A214B0">
        <w:rPr>
          <w:rFonts w:ascii="Times New Roman" w:eastAsia="宋体" w:hAnsi="Times New Roman" w:cs="Times New Roman"/>
          <w:color w:val="000000" w:themeColor="text1"/>
          <w:sz w:val="24"/>
          <w:szCs w:val="24"/>
        </w:rPr>
        <w:t>房屋权属具体情况详见下表：</w:t>
      </w:r>
    </w:p>
    <w:tbl>
      <w:tblPr>
        <w:tblW w:w="9049" w:type="dxa"/>
        <w:tblLayout w:type="fixed"/>
        <w:tblLook w:val="04A0" w:firstRow="1" w:lastRow="0" w:firstColumn="1" w:lastColumn="0" w:noHBand="0" w:noVBand="1"/>
      </w:tblPr>
      <w:tblGrid>
        <w:gridCol w:w="670"/>
        <w:gridCol w:w="1750"/>
        <w:gridCol w:w="2301"/>
        <w:gridCol w:w="914"/>
        <w:gridCol w:w="737"/>
        <w:gridCol w:w="1406"/>
        <w:gridCol w:w="1271"/>
      </w:tblGrid>
      <w:tr w:rsidR="00D56508" w:rsidRPr="00A214B0">
        <w:trPr>
          <w:trHeight w:val="500"/>
          <w:tblHeader/>
        </w:trPr>
        <w:tc>
          <w:tcPr>
            <w:tcW w:w="670" w:type="dxa"/>
            <w:vMerge w:val="restart"/>
            <w:tcBorders>
              <w:top w:val="single" w:sz="4" w:space="0" w:color="auto"/>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序号</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权证编号</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建筑物名称</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结构</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总层数</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建成</w:t>
            </w:r>
            <w:r w:rsidRPr="00A214B0">
              <w:rPr>
                <w:rFonts w:ascii="Times New Roman" w:hAnsi="Times New Roman" w:cs="Times New Roman"/>
                <w:b/>
                <w:bCs/>
                <w:color w:val="000000" w:themeColor="text1"/>
                <w:kern w:val="0"/>
                <w:sz w:val="18"/>
                <w:szCs w:val="18"/>
              </w:rPr>
              <w:br/>
            </w:r>
            <w:r w:rsidRPr="00A214B0">
              <w:rPr>
                <w:rFonts w:ascii="Times New Roman" w:hAnsi="Times New Roman" w:cs="Times New Roman"/>
                <w:b/>
                <w:bCs/>
                <w:color w:val="000000" w:themeColor="text1"/>
                <w:kern w:val="0"/>
                <w:sz w:val="18"/>
                <w:szCs w:val="18"/>
              </w:rPr>
              <w:t>年月</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建筑面积（平方米）</w:t>
            </w:r>
            <w:r w:rsidRPr="00A214B0">
              <w:rPr>
                <w:rFonts w:ascii="Times New Roman" w:hAnsi="Times New Roman" w:cs="Times New Roman"/>
                <w:b/>
                <w:bCs/>
                <w:color w:val="000000" w:themeColor="text1"/>
                <w:kern w:val="0"/>
                <w:sz w:val="18"/>
                <w:szCs w:val="18"/>
              </w:rPr>
              <w:t xml:space="preserve"> </w:t>
            </w:r>
          </w:p>
        </w:tc>
      </w:tr>
      <w:tr w:rsidR="00D56508" w:rsidRPr="00A214B0">
        <w:trPr>
          <w:trHeight w:val="500"/>
          <w:tblHeader/>
        </w:trPr>
        <w:tc>
          <w:tcPr>
            <w:tcW w:w="670"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建设工程规划许可证：建字第</w:t>
            </w:r>
            <w:r w:rsidRPr="00A214B0">
              <w:rPr>
                <w:rFonts w:ascii="Times New Roman" w:hAnsi="Times New Roman" w:cs="Times New Roman"/>
                <w:color w:val="000000" w:themeColor="text1"/>
                <w:kern w:val="0"/>
                <w:sz w:val="18"/>
                <w:szCs w:val="18"/>
              </w:rPr>
              <w:t>321200201420010</w:t>
            </w:r>
            <w:r w:rsidRPr="00A214B0">
              <w:rPr>
                <w:rFonts w:ascii="Times New Roman" w:hAnsi="Times New Roman" w:cs="Times New Roman"/>
                <w:color w:val="000000" w:themeColor="text1"/>
                <w:kern w:val="0"/>
                <w:sz w:val="18"/>
                <w:szCs w:val="18"/>
              </w:rPr>
              <w:t>号（补办）</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行政办公楼</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1670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建设工程规划许可证：建字第</w:t>
            </w:r>
            <w:r w:rsidRPr="00A214B0">
              <w:rPr>
                <w:rFonts w:ascii="Times New Roman" w:hAnsi="Times New Roman" w:cs="Times New Roman"/>
                <w:color w:val="000000" w:themeColor="text1"/>
                <w:kern w:val="0"/>
                <w:sz w:val="18"/>
                <w:szCs w:val="18"/>
              </w:rPr>
              <w:t>321200201420010</w:t>
            </w:r>
            <w:r w:rsidRPr="00A214B0">
              <w:rPr>
                <w:rFonts w:ascii="Times New Roman" w:hAnsi="Times New Roman" w:cs="Times New Roman"/>
                <w:color w:val="000000" w:themeColor="text1"/>
                <w:kern w:val="0"/>
                <w:sz w:val="18"/>
                <w:szCs w:val="18"/>
              </w:rPr>
              <w:t>号（补办）</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生活楼</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990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苏（</w:t>
            </w:r>
            <w:r w:rsidRPr="00A214B0">
              <w:rPr>
                <w:rFonts w:ascii="Times New Roman" w:hAnsi="Times New Roman" w:cs="Times New Roman"/>
                <w:color w:val="000000" w:themeColor="text1"/>
                <w:kern w:val="0"/>
                <w:sz w:val="18"/>
                <w:szCs w:val="18"/>
              </w:rPr>
              <w:t>2017</w:t>
            </w:r>
            <w:r w:rsidRPr="00A214B0">
              <w:rPr>
                <w:rFonts w:ascii="Times New Roman" w:hAnsi="Times New Roman" w:cs="Times New Roman"/>
                <w:color w:val="000000" w:themeColor="text1"/>
                <w:kern w:val="0"/>
                <w:sz w:val="18"/>
                <w:szCs w:val="18"/>
              </w:rPr>
              <w:t>）泰州不动产权第</w:t>
            </w:r>
            <w:r w:rsidRPr="00A214B0">
              <w:rPr>
                <w:rFonts w:ascii="Times New Roman" w:hAnsi="Times New Roman" w:cs="Times New Roman"/>
                <w:color w:val="000000" w:themeColor="text1"/>
                <w:kern w:val="0"/>
                <w:sz w:val="18"/>
                <w:szCs w:val="18"/>
              </w:rPr>
              <w:t>0026145</w:t>
            </w:r>
            <w:r w:rsidRPr="00A214B0">
              <w:rPr>
                <w:rFonts w:ascii="Times New Roman" w:hAnsi="Times New Roman" w:cs="Times New Roman"/>
                <w:color w:val="000000" w:themeColor="text1"/>
                <w:kern w:val="0"/>
                <w:sz w:val="18"/>
                <w:szCs w:val="18"/>
              </w:rPr>
              <w:t>号</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综合楼</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1025.14</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变配电站</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192.4</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门卫</w:t>
            </w:r>
            <w:r w:rsidRPr="00A214B0">
              <w:rPr>
                <w:rFonts w:ascii="Times New Roman" w:hAnsi="Times New Roman" w:cs="Times New Roman"/>
                <w:color w:val="000000" w:themeColor="text1"/>
                <w:kern w:val="0"/>
                <w:sz w:val="18"/>
                <w:szCs w:val="18"/>
              </w:rPr>
              <w:t>1</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2</w:t>
            </w:r>
            <w:r w:rsidRPr="00A214B0">
              <w:rPr>
                <w:rFonts w:ascii="Times New Roman" w:hAnsi="Times New Roman" w:cs="Times New Roman"/>
                <w:color w:val="000000" w:themeColor="text1"/>
                <w:kern w:val="0"/>
                <w:sz w:val="18"/>
                <w:szCs w:val="18"/>
              </w:rPr>
              <w:t>号门</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55.4</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地磅房</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62.32</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苏（</w:t>
            </w:r>
            <w:r w:rsidRPr="00A214B0">
              <w:rPr>
                <w:rFonts w:ascii="Times New Roman" w:hAnsi="Times New Roman" w:cs="Times New Roman"/>
                <w:color w:val="000000" w:themeColor="text1"/>
                <w:kern w:val="0"/>
                <w:sz w:val="18"/>
                <w:szCs w:val="18"/>
              </w:rPr>
              <w:t>2017</w:t>
            </w:r>
            <w:r w:rsidRPr="00A214B0">
              <w:rPr>
                <w:rFonts w:ascii="Times New Roman" w:hAnsi="Times New Roman" w:cs="Times New Roman"/>
                <w:color w:val="000000" w:themeColor="text1"/>
                <w:kern w:val="0"/>
                <w:sz w:val="18"/>
                <w:szCs w:val="18"/>
              </w:rPr>
              <w:t>）泰州不动产权第</w:t>
            </w:r>
            <w:r w:rsidRPr="00A214B0">
              <w:rPr>
                <w:rFonts w:ascii="Times New Roman" w:hAnsi="Times New Roman" w:cs="Times New Roman"/>
                <w:color w:val="000000" w:themeColor="text1"/>
                <w:kern w:val="0"/>
                <w:sz w:val="18"/>
                <w:szCs w:val="18"/>
              </w:rPr>
              <w:t>0026145</w:t>
            </w:r>
            <w:r w:rsidRPr="00A214B0">
              <w:rPr>
                <w:rFonts w:ascii="Times New Roman" w:hAnsi="Times New Roman" w:cs="Times New Roman"/>
                <w:color w:val="000000" w:themeColor="text1"/>
                <w:kern w:val="0"/>
                <w:sz w:val="18"/>
                <w:szCs w:val="18"/>
              </w:rPr>
              <w:t>号</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空压冷冻站</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320.43</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开票大厅</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2015/3/31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180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9</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码头新增门卫用房</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2016/4/30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机修大厅</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2017/3/31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300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11</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锅炉房</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112.5</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hAnsi="Times New Roman" w:cs="Times New Roman" w:hint="eastAsia"/>
                <w:color w:val="000000" w:themeColor="text1"/>
                <w:kern w:val="0"/>
                <w:sz w:val="18"/>
                <w:szCs w:val="18"/>
              </w:rPr>
              <w:t>12</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码头房建工程</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砖混</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2013/5/1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 xml:space="preserve">42.41 </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hAnsi="Times New Roman" w:cs="Times New Roman" w:hint="eastAsia"/>
                <w:color w:val="000000" w:themeColor="text1"/>
                <w:kern w:val="0"/>
                <w:sz w:val="18"/>
                <w:szCs w:val="18"/>
              </w:rPr>
              <w:t>13</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COD</w:t>
            </w:r>
            <w:r w:rsidRPr="00A214B0">
              <w:rPr>
                <w:rFonts w:ascii="Times New Roman" w:eastAsia="Arial Narrow" w:hAnsi="Times New Roman" w:cs="Times New Roman"/>
                <w:color w:val="000000" w:themeColor="text1"/>
                <w:kern w:val="0"/>
                <w:sz w:val="18"/>
                <w:szCs w:val="18"/>
                <w:lang w:bidi="ar"/>
              </w:rPr>
              <w:t>化验室、样品间</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砖混</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2013/5/1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 xml:space="preserve">41.29 </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合计　</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5</w:t>
            </w:r>
            <w:r w:rsidRPr="00A214B0">
              <w:rPr>
                <w:rFonts w:ascii="Times New Roman" w:hAnsi="Times New Roman" w:cs="Times New Roman" w:hint="eastAsia"/>
                <w:b/>
                <w:bCs/>
                <w:color w:val="000000" w:themeColor="text1"/>
                <w:kern w:val="0"/>
                <w:sz w:val="18"/>
                <w:szCs w:val="18"/>
              </w:rPr>
              <w:t>,</w:t>
            </w:r>
            <w:r w:rsidRPr="00A214B0">
              <w:rPr>
                <w:rFonts w:ascii="Times New Roman" w:hAnsi="Times New Roman" w:cs="Times New Roman"/>
                <w:b/>
                <w:bCs/>
                <w:color w:val="000000" w:themeColor="text1"/>
                <w:kern w:val="0"/>
                <w:sz w:val="18"/>
                <w:szCs w:val="18"/>
              </w:rPr>
              <w:t>011.89</w:t>
            </w:r>
            <w:r w:rsidRPr="00A214B0">
              <w:rPr>
                <w:rFonts w:ascii="Times New Roman" w:hAnsi="Times New Roman" w:cs="Times New Roman"/>
                <w:b/>
                <w:bCs/>
                <w:color w:val="000000" w:themeColor="text1"/>
                <w:kern w:val="0"/>
                <w:sz w:val="18"/>
                <w:szCs w:val="18"/>
              </w:rPr>
              <w:t xml:space="preserve">　</w:t>
            </w:r>
          </w:p>
        </w:tc>
      </w:tr>
    </w:tbl>
    <w:p w:rsidR="00D56508" w:rsidRPr="00A214B0" w:rsidRDefault="00F1265B">
      <w:pPr>
        <w:tabs>
          <w:tab w:val="left" w:pos="2552"/>
        </w:tabs>
        <w:autoSpaceDE w:val="0"/>
        <w:autoSpaceDN w:val="0"/>
        <w:adjustRightInd w:val="0"/>
        <w:snapToGrid w:val="0"/>
        <w:spacing w:beforeLines="50" w:before="250"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对于上述未办理房权证或办理建设手续的房屋，被评估单位出具相关说明承诺房屋产权为江苏海企化工仓储股份有限公司所拥有。</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评估基准日，评估范围内的房屋建筑物在正常使用，使用状况较好。</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构筑物主要为道路、水池、围墙、绿化等</w:t>
      </w:r>
      <w:r w:rsidRPr="00A214B0">
        <w:rPr>
          <w:rFonts w:ascii="Times New Roman" w:hAnsi="Times New Roman" w:cs="Times New Roman" w:hint="eastAsia"/>
          <w:color w:val="000000" w:themeColor="text1"/>
          <w:sz w:val="24"/>
          <w:szCs w:val="24"/>
        </w:rPr>
        <w:t>，管道主要包括一期及一期扩建罐区管道、二期管道等</w:t>
      </w:r>
      <w:r w:rsidRPr="00A214B0">
        <w:rPr>
          <w:rFonts w:ascii="Times New Roman" w:hAnsi="Times New Roman" w:cs="Times New Roman"/>
          <w:color w:val="000000" w:themeColor="text1"/>
          <w:sz w:val="24"/>
          <w:szCs w:val="24"/>
        </w:rPr>
        <w:t>。</w:t>
      </w:r>
    </w:p>
    <w:p w:rsidR="00D56508" w:rsidRPr="00A214B0" w:rsidRDefault="00D50ECF">
      <w:pPr>
        <w:overflowPunct w:val="0"/>
        <w:autoSpaceDE w:val="0"/>
        <w:autoSpaceDN w:val="0"/>
        <w:adjustRightInd w:val="0"/>
        <w:snapToGrid w:val="0"/>
        <w:spacing w:line="360" w:lineRule="auto"/>
        <w:ind w:firstLineChars="200" w:firstLine="480"/>
        <w:jc w:val="left"/>
        <w:textAlignment w:val="baseline"/>
        <w:outlineLvl w:val="2"/>
        <w:rPr>
          <w:rFonts w:ascii="Times New Roman" w:hAnsi="Times New Roman" w:cs="Times New Roman"/>
          <w:color w:val="000000" w:themeColor="text1"/>
          <w:sz w:val="24"/>
          <w:szCs w:val="24"/>
        </w:rPr>
      </w:pPr>
      <w:bookmarkStart w:id="18" w:name="_Toc25573"/>
      <w:r w:rsidRPr="00A214B0">
        <w:rPr>
          <w:rFonts w:ascii="Times New Roman" w:hAnsi="Times New Roman" w:cs="Times New Roman"/>
          <w:color w:val="000000" w:themeColor="text1"/>
          <w:sz w:val="24"/>
          <w:szCs w:val="24"/>
        </w:rPr>
        <w:t>3</w:t>
      </w:r>
      <w:r w:rsidR="00F1265B" w:rsidRPr="00A214B0">
        <w:rPr>
          <w:rFonts w:ascii="Times New Roman" w:hAnsi="Times New Roman" w:cs="Times New Roman"/>
          <w:color w:val="000000" w:themeColor="text1"/>
          <w:sz w:val="24"/>
          <w:szCs w:val="24"/>
        </w:rPr>
        <w:t>、土地使用权</w:t>
      </w:r>
      <w:bookmarkEnd w:id="18"/>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评估基准日，评估范围内的土地使用权共三宗，以出让方式取得。委估宗地概括如下：</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）土地登记及权利状况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本次评估的土地，为江苏海企化工仓储股份有限公司合法拥有的、位于江苏省泰州市高港区永安洲镇疏港一路</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号的工业用地，宗地登记情况如下表：</w:t>
      </w:r>
    </w:p>
    <w:p w:rsidR="00D56508" w:rsidRPr="00A214B0" w:rsidRDefault="00F1265B">
      <w:pPr>
        <w:autoSpaceDE w:val="0"/>
        <w:autoSpaceDN w:val="0"/>
        <w:spacing w:line="360" w:lineRule="auto"/>
        <w:ind w:firstLineChars="200" w:firstLine="422"/>
        <w:jc w:val="center"/>
        <w:rPr>
          <w:rFonts w:ascii="Times New Roman" w:hAnsi="Times New Roman" w:cs="Times New Roman"/>
          <w:color w:val="000000" w:themeColor="text1"/>
        </w:rPr>
      </w:pPr>
      <w:r w:rsidRPr="00A214B0">
        <w:rPr>
          <w:rFonts w:ascii="Times New Roman" w:hAnsi="Times New Roman" w:cs="Times New Roman"/>
          <w:b/>
          <w:color w:val="000000" w:themeColor="text1"/>
          <w:szCs w:val="21"/>
        </w:rPr>
        <w:t>待估宗地登记情况一览表</w:t>
      </w:r>
    </w:p>
    <w:tbl>
      <w:tblPr>
        <w:tblW w:w="9049" w:type="dxa"/>
        <w:jc w:val="center"/>
        <w:tblLayout w:type="fixed"/>
        <w:tblLook w:val="04A0" w:firstRow="1" w:lastRow="0" w:firstColumn="1" w:lastColumn="0" w:noHBand="0" w:noVBand="1"/>
      </w:tblPr>
      <w:tblGrid>
        <w:gridCol w:w="544"/>
        <w:gridCol w:w="1110"/>
        <w:gridCol w:w="725"/>
        <w:gridCol w:w="1277"/>
        <w:gridCol w:w="820"/>
        <w:gridCol w:w="1044"/>
        <w:gridCol w:w="1051"/>
        <w:gridCol w:w="638"/>
        <w:gridCol w:w="731"/>
        <w:gridCol w:w="1109"/>
      </w:tblGrid>
      <w:tr w:rsidR="00D56508" w:rsidRPr="00A214B0">
        <w:trPr>
          <w:trHeight w:val="20"/>
          <w:tblHeader/>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序号</w:t>
            </w:r>
          </w:p>
        </w:tc>
        <w:tc>
          <w:tcPr>
            <w:tcW w:w="111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土地权证编号</w:t>
            </w:r>
          </w:p>
        </w:tc>
        <w:tc>
          <w:tcPr>
            <w:tcW w:w="725"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宗地名称</w:t>
            </w:r>
          </w:p>
        </w:tc>
        <w:tc>
          <w:tcPr>
            <w:tcW w:w="127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土地位置</w:t>
            </w:r>
          </w:p>
        </w:tc>
        <w:tc>
          <w:tcPr>
            <w:tcW w:w="82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使用权类型</w:t>
            </w:r>
          </w:p>
        </w:tc>
        <w:tc>
          <w:tcPr>
            <w:tcW w:w="104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地类（用途）</w:t>
            </w:r>
          </w:p>
        </w:tc>
        <w:tc>
          <w:tcPr>
            <w:tcW w:w="105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终止日期</w:t>
            </w:r>
          </w:p>
        </w:tc>
        <w:tc>
          <w:tcPr>
            <w:tcW w:w="63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准用年限</w:t>
            </w:r>
          </w:p>
        </w:tc>
        <w:tc>
          <w:tcPr>
            <w:tcW w:w="73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开发程度</w:t>
            </w:r>
          </w:p>
        </w:tc>
        <w:tc>
          <w:tcPr>
            <w:tcW w:w="1109"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面积</w:t>
            </w:r>
            <w:r w:rsidRPr="00A214B0">
              <w:rPr>
                <w:rFonts w:ascii="Times New Roman" w:hAnsi="Times New Roman" w:cs="Times New Roman"/>
                <w:color w:val="000000" w:themeColor="text1"/>
                <w:kern w:val="0"/>
                <w:sz w:val="18"/>
                <w:szCs w:val="18"/>
              </w:rPr>
              <w:t>(m</w:t>
            </w:r>
            <w:r w:rsidRPr="00A214B0">
              <w:rPr>
                <w:rFonts w:ascii="Times New Roman" w:hAnsi="Times New Roman" w:cs="Times New Roman"/>
                <w:color w:val="000000" w:themeColor="text1"/>
                <w:kern w:val="0"/>
                <w:sz w:val="18"/>
                <w:szCs w:val="18"/>
                <w:vertAlign w:val="superscript"/>
              </w:rPr>
              <w:t>2</w:t>
            </w:r>
            <w:r w:rsidRPr="00A214B0">
              <w:rPr>
                <w:rFonts w:ascii="Times New Roman" w:hAnsi="Times New Roman" w:cs="Times New Roman"/>
                <w:color w:val="000000" w:themeColor="text1"/>
                <w:kern w:val="0"/>
                <w:sz w:val="18"/>
                <w:szCs w:val="18"/>
              </w:rPr>
              <w:t>)</w:t>
            </w:r>
          </w:p>
        </w:tc>
      </w:tr>
      <w:tr w:rsidR="00D56508" w:rsidRPr="00A214B0">
        <w:trPr>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11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泰州国用（</w:t>
            </w:r>
            <w:r w:rsidRPr="00A214B0">
              <w:rPr>
                <w:rFonts w:ascii="Times New Roman" w:hAnsi="Times New Roman" w:cs="Times New Roman"/>
                <w:color w:val="000000" w:themeColor="text1"/>
                <w:kern w:val="0"/>
                <w:sz w:val="18"/>
                <w:szCs w:val="18"/>
              </w:rPr>
              <w:t>2014</w:t>
            </w:r>
            <w:r w:rsidRPr="00A214B0">
              <w:rPr>
                <w:rFonts w:ascii="Times New Roman" w:hAnsi="Times New Roman" w:cs="Times New Roman"/>
                <w:color w:val="000000" w:themeColor="text1"/>
                <w:kern w:val="0"/>
                <w:sz w:val="18"/>
                <w:szCs w:val="18"/>
              </w:rPr>
              <w:t>）第</w:t>
            </w:r>
            <w:r w:rsidRPr="00A214B0">
              <w:rPr>
                <w:rFonts w:ascii="Times New Roman" w:hAnsi="Times New Roman" w:cs="Times New Roman"/>
                <w:color w:val="000000" w:themeColor="text1"/>
                <w:kern w:val="0"/>
                <w:sz w:val="18"/>
                <w:szCs w:val="18"/>
              </w:rPr>
              <w:t>808</w:t>
            </w:r>
            <w:r w:rsidRPr="00A214B0">
              <w:rPr>
                <w:rFonts w:ascii="Times New Roman" w:hAnsi="Times New Roman" w:cs="Times New Roman"/>
                <w:color w:val="000000" w:themeColor="text1"/>
                <w:kern w:val="0"/>
                <w:sz w:val="18"/>
                <w:szCs w:val="18"/>
              </w:rPr>
              <w:t>号</w:t>
            </w:r>
          </w:p>
        </w:tc>
        <w:tc>
          <w:tcPr>
            <w:tcW w:w="725"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一期土地</w:t>
            </w:r>
          </w:p>
        </w:tc>
        <w:tc>
          <w:tcPr>
            <w:tcW w:w="127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8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出让</w:t>
            </w:r>
          </w:p>
        </w:tc>
        <w:tc>
          <w:tcPr>
            <w:tcW w:w="10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工业用地</w:t>
            </w:r>
          </w:p>
        </w:tc>
        <w:tc>
          <w:tcPr>
            <w:tcW w:w="105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2056/1/31</w:t>
            </w:r>
          </w:p>
        </w:tc>
        <w:tc>
          <w:tcPr>
            <w:tcW w:w="63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c>
          <w:tcPr>
            <w:tcW w:w="73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五通一平</w:t>
            </w:r>
          </w:p>
        </w:tc>
        <w:tc>
          <w:tcPr>
            <w:tcW w:w="110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96,759.00 </w:t>
            </w:r>
          </w:p>
        </w:tc>
      </w:tr>
      <w:tr w:rsidR="00D56508" w:rsidRPr="00A214B0">
        <w:trPr>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11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苏（</w:t>
            </w:r>
            <w:r w:rsidRPr="00A214B0">
              <w:rPr>
                <w:rFonts w:ascii="Times New Roman" w:hAnsi="Times New Roman" w:cs="Times New Roman"/>
                <w:color w:val="000000" w:themeColor="text1"/>
                <w:kern w:val="0"/>
                <w:sz w:val="18"/>
                <w:szCs w:val="18"/>
              </w:rPr>
              <w:t>2017</w:t>
            </w:r>
            <w:r w:rsidRPr="00A214B0">
              <w:rPr>
                <w:rFonts w:ascii="Times New Roman" w:hAnsi="Times New Roman" w:cs="Times New Roman"/>
                <w:color w:val="000000" w:themeColor="text1"/>
                <w:kern w:val="0"/>
                <w:sz w:val="18"/>
                <w:szCs w:val="18"/>
              </w:rPr>
              <w:t>）泰州不动产权第</w:t>
            </w:r>
            <w:r w:rsidRPr="00A214B0">
              <w:rPr>
                <w:rFonts w:ascii="Times New Roman" w:hAnsi="Times New Roman" w:cs="Times New Roman"/>
                <w:color w:val="000000" w:themeColor="text1"/>
                <w:kern w:val="0"/>
                <w:sz w:val="18"/>
                <w:szCs w:val="18"/>
              </w:rPr>
              <w:t>0026145</w:t>
            </w:r>
            <w:r w:rsidRPr="00A214B0">
              <w:rPr>
                <w:rFonts w:ascii="Times New Roman" w:hAnsi="Times New Roman" w:cs="Times New Roman"/>
                <w:color w:val="000000" w:themeColor="text1"/>
                <w:kern w:val="0"/>
                <w:sz w:val="18"/>
                <w:szCs w:val="18"/>
              </w:rPr>
              <w:t>号</w:t>
            </w:r>
          </w:p>
        </w:tc>
        <w:tc>
          <w:tcPr>
            <w:tcW w:w="725"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二期土地</w:t>
            </w:r>
            <w:r w:rsidRPr="00A214B0">
              <w:rPr>
                <w:rFonts w:ascii="Times New Roman" w:hAnsi="Times New Roman" w:cs="Times New Roman"/>
                <w:color w:val="000000" w:themeColor="text1"/>
                <w:kern w:val="0"/>
                <w:sz w:val="18"/>
                <w:szCs w:val="18"/>
              </w:rPr>
              <w:t>B</w:t>
            </w:r>
          </w:p>
        </w:tc>
        <w:tc>
          <w:tcPr>
            <w:tcW w:w="127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高港区永安洲镇疏港一路</w:t>
            </w:r>
            <w:r w:rsidRPr="00A214B0">
              <w:rPr>
                <w:rFonts w:ascii="Times New Roman" w:hAnsi="Times New Roman" w:cs="Times New Roman"/>
                <w:color w:val="000000" w:themeColor="text1"/>
                <w:kern w:val="0"/>
                <w:sz w:val="18"/>
                <w:szCs w:val="18"/>
              </w:rPr>
              <w:t>1</w:t>
            </w:r>
            <w:r w:rsidRPr="00A214B0">
              <w:rPr>
                <w:rFonts w:ascii="Times New Roman" w:hAnsi="Times New Roman" w:cs="Times New Roman"/>
                <w:color w:val="000000" w:themeColor="text1"/>
                <w:kern w:val="0"/>
                <w:sz w:val="18"/>
                <w:szCs w:val="18"/>
              </w:rPr>
              <w:t>号</w:t>
            </w:r>
          </w:p>
        </w:tc>
        <w:tc>
          <w:tcPr>
            <w:tcW w:w="8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出让</w:t>
            </w:r>
          </w:p>
        </w:tc>
        <w:tc>
          <w:tcPr>
            <w:tcW w:w="10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工业用地</w:t>
            </w:r>
          </w:p>
        </w:tc>
        <w:tc>
          <w:tcPr>
            <w:tcW w:w="105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2061/4/30</w:t>
            </w:r>
          </w:p>
        </w:tc>
        <w:tc>
          <w:tcPr>
            <w:tcW w:w="63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c>
          <w:tcPr>
            <w:tcW w:w="73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五通一平</w:t>
            </w:r>
          </w:p>
        </w:tc>
        <w:tc>
          <w:tcPr>
            <w:tcW w:w="110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73,466.00 </w:t>
            </w:r>
          </w:p>
        </w:tc>
      </w:tr>
      <w:tr w:rsidR="00D56508" w:rsidRPr="00A214B0">
        <w:trPr>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11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泰州国用（</w:t>
            </w:r>
            <w:r w:rsidRPr="00A214B0">
              <w:rPr>
                <w:rFonts w:ascii="Times New Roman" w:hAnsi="Times New Roman" w:cs="Times New Roman"/>
                <w:color w:val="000000" w:themeColor="text1"/>
                <w:kern w:val="0"/>
                <w:sz w:val="18"/>
                <w:szCs w:val="18"/>
              </w:rPr>
              <w:t>2014</w:t>
            </w:r>
            <w:r w:rsidRPr="00A214B0">
              <w:rPr>
                <w:rFonts w:ascii="Times New Roman" w:hAnsi="Times New Roman" w:cs="Times New Roman"/>
                <w:color w:val="000000" w:themeColor="text1"/>
                <w:kern w:val="0"/>
                <w:sz w:val="18"/>
                <w:szCs w:val="18"/>
              </w:rPr>
              <w:t>）第</w:t>
            </w:r>
            <w:r w:rsidRPr="00A214B0">
              <w:rPr>
                <w:rFonts w:ascii="Times New Roman" w:hAnsi="Times New Roman" w:cs="Times New Roman"/>
                <w:color w:val="000000" w:themeColor="text1"/>
                <w:kern w:val="0"/>
                <w:sz w:val="18"/>
                <w:szCs w:val="18"/>
              </w:rPr>
              <w:t>1188</w:t>
            </w:r>
            <w:r w:rsidRPr="00A214B0">
              <w:rPr>
                <w:rFonts w:ascii="Times New Roman" w:hAnsi="Times New Roman" w:cs="Times New Roman"/>
                <w:color w:val="000000" w:themeColor="text1"/>
                <w:kern w:val="0"/>
                <w:sz w:val="18"/>
                <w:szCs w:val="18"/>
              </w:rPr>
              <w:t>号</w:t>
            </w:r>
          </w:p>
        </w:tc>
        <w:tc>
          <w:tcPr>
            <w:tcW w:w="725"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二期土地</w:t>
            </w:r>
            <w:r w:rsidRPr="00A214B0">
              <w:rPr>
                <w:rFonts w:ascii="Times New Roman" w:hAnsi="Times New Roman" w:cs="Times New Roman"/>
                <w:color w:val="000000" w:themeColor="text1"/>
                <w:kern w:val="0"/>
                <w:sz w:val="18"/>
                <w:szCs w:val="18"/>
              </w:rPr>
              <w:t>A</w:t>
            </w:r>
          </w:p>
        </w:tc>
        <w:tc>
          <w:tcPr>
            <w:tcW w:w="127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8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出让</w:t>
            </w:r>
          </w:p>
        </w:tc>
        <w:tc>
          <w:tcPr>
            <w:tcW w:w="10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工业用地</w:t>
            </w:r>
          </w:p>
        </w:tc>
        <w:tc>
          <w:tcPr>
            <w:tcW w:w="105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2061/4/30</w:t>
            </w:r>
          </w:p>
        </w:tc>
        <w:tc>
          <w:tcPr>
            <w:tcW w:w="63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c>
          <w:tcPr>
            <w:tcW w:w="73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五通一平</w:t>
            </w:r>
          </w:p>
        </w:tc>
        <w:tc>
          <w:tcPr>
            <w:tcW w:w="110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5,366.00 </w:t>
            </w:r>
          </w:p>
        </w:tc>
      </w:tr>
    </w:tbl>
    <w:p w:rsidR="00D56508" w:rsidRPr="00A214B0" w:rsidRDefault="00D50ECF">
      <w:pPr>
        <w:topLinePunct/>
        <w:adjustRightInd w:val="0"/>
        <w:snapToGrid w:val="0"/>
        <w:spacing w:beforeLines="50" w:before="250" w:line="360" w:lineRule="auto"/>
        <w:ind w:firstLineChars="200" w:firstLine="480"/>
        <w:outlineLvl w:val="2"/>
        <w:rPr>
          <w:rFonts w:ascii="Times New Roman" w:hAnsi="Times New Roman" w:cs="Times New Roman"/>
          <w:color w:val="000000" w:themeColor="text1"/>
          <w:sz w:val="24"/>
          <w:szCs w:val="24"/>
        </w:rPr>
      </w:pPr>
      <w:bookmarkStart w:id="19" w:name="_Toc13900"/>
      <w:r w:rsidRPr="00A214B0">
        <w:rPr>
          <w:rFonts w:ascii="Times New Roman" w:hAnsi="Times New Roman" w:cs="Times New Roman"/>
          <w:color w:val="000000" w:themeColor="text1"/>
          <w:sz w:val="24"/>
          <w:szCs w:val="24"/>
        </w:rPr>
        <w:t>4</w:t>
      </w:r>
      <w:r w:rsidR="00F1265B" w:rsidRPr="00A214B0">
        <w:rPr>
          <w:rFonts w:ascii="Times New Roman" w:hAnsi="Times New Roman" w:cs="Times New Roman"/>
          <w:color w:val="000000" w:themeColor="text1"/>
          <w:sz w:val="24"/>
          <w:szCs w:val="24"/>
        </w:rPr>
        <w:t>、设备类资产</w:t>
      </w:r>
      <w:bookmarkEnd w:id="19"/>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bookmarkStart w:id="20" w:name="_Toc2482"/>
      <w:r w:rsidRPr="00A214B0">
        <w:rPr>
          <w:rFonts w:ascii="Times New Roman" w:hAnsi="Times New Roman" w:cs="Times New Roman" w:hint="eastAsia"/>
          <w:color w:val="000000" w:themeColor="text1"/>
          <w:sz w:val="24"/>
          <w:szCs w:val="24"/>
        </w:rPr>
        <w:t>纳入本次评估范围内的设备类资产包括机器设备、车辆及电子设备。其中：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机器设备共</w:t>
      </w:r>
      <w:r w:rsidRPr="00A214B0">
        <w:rPr>
          <w:rFonts w:ascii="Times New Roman" w:hAnsi="Times New Roman" w:cs="Times New Roman" w:hint="eastAsia"/>
          <w:color w:val="000000" w:themeColor="text1"/>
          <w:sz w:val="24"/>
          <w:szCs w:val="24"/>
        </w:rPr>
        <w:t>1114</w:t>
      </w:r>
      <w:r w:rsidRPr="00A214B0">
        <w:rPr>
          <w:rFonts w:ascii="Times New Roman" w:hAnsi="Times New Roman" w:cs="Times New Roman" w:hint="eastAsia"/>
          <w:color w:val="000000" w:themeColor="text1"/>
          <w:sz w:val="24"/>
          <w:szCs w:val="24"/>
        </w:rPr>
        <w:t>项，</w:t>
      </w:r>
      <w:r w:rsidRPr="00A214B0">
        <w:rPr>
          <w:rFonts w:ascii="Times New Roman" w:hAnsi="Times New Roman" w:cs="Times New Roman" w:hint="eastAsia"/>
          <w:color w:val="000000" w:themeColor="text1"/>
          <w:sz w:val="24"/>
          <w:szCs w:val="24"/>
        </w:rPr>
        <w:t>1377</w:t>
      </w:r>
      <w:r w:rsidRPr="00A214B0">
        <w:rPr>
          <w:rFonts w:ascii="Times New Roman" w:hAnsi="Times New Roman" w:cs="Times New Roman" w:hint="eastAsia"/>
          <w:color w:val="000000" w:themeColor="text1"/>
          <w:sz w:val="24"/>
          <w:szCs w:val="24"/>
        </w:rPr>
        <w:t>台（套），主要包括立式储罐、配套装车设备、锅炉、空压机、制冷机组等，机器设备主要购建于</w:t>
      </w:r>
      <w:r w:rsidRPr="00A214B0">
        <w:rPr>
          <w:rFonts w:ascii="Times New Roman" w:hAnsi="Times New Roman" w:cs="Times New Roman" w:hint="eastAsia"/>
          <w:color w:val="000000" w:themeColor="text1"/>
          <w:sz w:val="24"/>
          <w:szCs w:val="24"/>
        </w:rPr>
        <w:t>2007</w:t>
      </w:r>
      <w:r w:rsidRPr="00A214B0">
        <w:rPr>
          <w:rFonts w:ascii="Times New Roman" w:hAnsi="Times New Roman" w:cs="Times New Roman" w:hint="eastAsia"/>
          <w:color w:val="000000" w:themeColor="text1"/>
          <w:sz w:val="24"/>
          <w:szCs w:val="24"/>
        </w:rPr>
        <w:t>年以后。企业建立了健全的设备管理制度，由储运部工作人员负责立式储罐及配套设施的运行，设备维修有专职设备维修人员负责。经现场了解，企业的设备管理制度执行较规范，设备维护保养良好。其中，</w:t>
      </w:r>
      <w:r w:rsidRPr="00A214B0">
        <w:rPr>
          <w:rFonts w:ascii="Times New Roman" w:hAnsi="Times New Roman" w:cs="Times New Roman" w:hint="eastAsia"/>
          <w:color w:val="000000" w:themeColor="text1"/>
          <w:sz w:val="24"/>
          <w:szCs w:val="24"/>
        </w:rPr>
        <w:t>70</w:t>
      </w:r>
      <w:r w:rsidRPr="00A214B0">
        <w:rPr>
          <w:rFonts w:ascii="Times New Roman" w:hAnsi="Times New Roman" w:cs="Times New Roman" w:hint="eastAsia"/>
          <w:color w:val="000000" w:themeColor="text1"/>
          <w:sz w:val="24"/>
          <w:szCs w:val="24"/>
        </w:rPr>
        <w:t>台立式储罐为危险化学品储罐，属于特种设备，均按照《</w:t>
      </w:r>
      <w:r w:rsidRPr="00A214B0">
        <w:rPr>
          <w:rFonts w:ascii="Times New Roman" w:hAnsi="Times New Roman" w:cs="Times New Roman"/>
          <w:color w:val="000000" w:themeColor="text1"/>
          <w:sz w:val="24"/>
          <w:szCs w:val="24"/>
        </w:rPr>
        <w:t>特种设备安全监察条例</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color w:val="000000" w:themeColor="text1"/>
          <w:sz w:val="24"/>
          <w:szCs w:val="24"/>
        </w:rPr>
        <w:t>（国务院令第</w:t>
      </w:r>
      <w:r w:rsidRPr="00A214B0">
        <w:rPr>
          <w:rFonts w:ascii="Times New Roman" w:hAnsi="Times New Roman" w:cs="Times New Roman"/>
          <w:color w:val="000000" w:themeColor="text1"/>
          <w:sz w:val="24"/>
          <w:szCs w:val="24"/>
        </w:rPr>
        <w:t>373</w:t>
      </w:r>
      <w:r w:rsidRPr="00A214B0">
        <w:rPr>
          <w:rFonts w:ascii="Times New Roman" w:hAnsi="Times New Roman" w:cs="Times New Roman"/>
          <w:color w:val="000000" w:themeColor="text1"/>
          <w:sz w:val="24"/>
          <w:szCs w:val="24"/>
        </w:rPr>
        <w:t>号）</w:t>
      </w:r>
      <w:r w:rsidRPr="00A214B0">
        <w:rPr>
          <w:rFonts w:ascii="Times New Roman" w:hAnsi="Times New Roman" w:cs="Times New Roman" w:hint="eastAsia"/>
          <w:color w:val="000000" w:themeColor="text1"/>
          <w:sz w:val="24"/>
          <w:szCs w:val="24"/>
        </w:rPr>
        <w:t>的相关规定进行定期检验，评估人员现场核查了该部分设备的检验报告原件，其上次检验时间为</w:t>
      </w:r>
      <w:r w:rsidRPr="00A214B0">
        <w:rPr>
          <w:rFonts w:ascii="Times New Roman" w:hAnsi="Times New Roman" w:cs="Times New Roman" w:hint="eastAsia"/>
          <w:color w:val="000000" w:themeColor="text1"/>
          <w:sz w:val="24"/>
          <w:szCs w:val="24"/>
        </w:rPr>
        <w:t>2017</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11</w:t>
      </w:r>
      <w:r w:rsidRPr="00A214B0">
        <w:rPr>
          <w:rFonts w:ascii="Times New Roman" w:hAnsi="Times New Roman" w:cs="Times New Roman" w:hint="eastAsia"/>
          <w:color w:val="000000" w:themeColor="text1"/>
          <w:sz w:val="24"/>
          <w:szCs w:val="24"/>
        </w:rPr>
        <w:t>月至</w:t>
      </w:r>
      <w:r w:rsidRPr="00A214B0">
        <w:rPr>
          <w:rFonts w:ascii="Times New Roman" w:hAnsi="Times New Roman" w:cs="Times New Roman" w:hint="eastAsia"/>
          <w:color w:val="000000" w:themeColor="text1"/>
          <w:sz w:val="24"/>
          <w:szCs w:val="24"/>
        </w:rPr>
        <w:t>2019</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5</w:t>
      </w:r>
      <w:r w:rsidRPr="00A214B0">
        <w:rPr>
          <w:rFonts w:ascii="Times New Roman" w:hAnsi="Times New Roman" w:cs="Times New Roman" w:hint="eastAsia"/>
          <w:color w:val="000000" w:themeColor="text1"/>
          <w:sz w:val="24"/>
          <w:szCs w:val="24"/>
        </w:rPr>
        <w:t>月之间，检验周期为</w:t>
      </w:r>
      <w:r w:rsidRPr="00A214B0">
        <w:rPr>
          <w:rFonts w:ascii="Times New Roman" w:hAnsi="Times New Roman" w:cs="Times New Roman" w:hint="eastAsia"/>
          <w:color w:val="000000" w:themeColor="text1"/>
          <w:sz w:val="24"/>
          <w:szCs w:val="24"/>
        </w:rPr>
        <w:t>4</w:t>
      </w:r>
      <w:r w:rsidRPr="00A214B0">
        <w:rPr>
          <w:rFonts w:ascii="Times New Roman" w:hAnsi="Times New Roman" w:cs="Times New Roman" w:hint="eastAsia"/>
          <w:color w:val="000000" w:themeColor="text1"/>
          <w:sz w:val="24"/>
          <w:szCs w:val="24"/>
        </w:rPr>
        <w:t>年，均在有效期内。</w:t>
      </w:r>
      <w:r w:rsidRPr="00A214B0">
        <w:rPr>
          <w:rFonts w:ascii="Times New Roman" w:hAnsi="Times New Roman" w:cs="Times New Roman"/>
          <w:color w:val="000000" w:themeColor="text1"/>
          <w:sz w:val="24"/>
          <w:szCs w:val="24"/>
        </w:rPr>
        <w:t>至评估基准日</w:t>
      </w:r>
      <w:r w:rsidRPr="00A214B0">
        <w:rPr>
          <w:rFonts w:ascii="Times New Roman" w:hAnsi="Times New Roman" w:cs="Times New Roman" w:hint="eastAsia"/>
          <w:color w:val="000000" w:themeColor="text1"/>
          <w:sz w:val="24"/>
          <w:szCs w:val="24"/>
        </w:rPr>
        <w:t>，所有</w:t>
      </w:r>
      <w:r w:rsidRPr="00A214B0">
        <w:rPr>
          <w:rFonts w:ascii="Times New Roman" w:hAnsi="Times New Roman" w:cs="Times New Roman"/>
          <w:color w:val="000000" w:themeColor="text1"/>
          <w:sz w:val="24"/>
          <w:szCs w:val="24"/>
        </w:rPr>
        <w:t>机器设备均在正常使用中。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评估范围内，</w:t>
      </w:r>
      <w:r w:rsidRPr="00A214B0">
        <w:rPr>
          <w:rFonts w:ascii="Times New Roman" w:hAnsi="Times New Roman" w:cs="Times New Roman"/>
          <w:color w:val="000000" w:themeColor="text1"/>
          <w:sz w:val="24"/>
          <w:szCs w:val="24"/>
        </w:rPr>
        <w:t>车辆共</w:t>
      </w:r>
      <w:r w:rsidRPr="00A214B0">
        <w:rPr>
          <w:rFonts w:ascii="Times New Roman" w:hAnsi="Times New Roman" w:cs="Times New Roman" w:hint="eastAsia"/>
          <w:color w:val="000000" w:themeColor="text1"/>
          <w:sz w:val="24"/>
          <w:szCs w:val="24"/>
        </w:rPr>
        <w:t>7</w:t>
      </w:r>
      <w:r w:rsidRPr="00A214B0">
        <w:rPr>
          <w:rFonts w:ascii="Times New Roman" w:hAnsi="Times New Roman" w:cs="Times New Roman"/>
          <w:color w:val="000000" w:themeColor="text1"/>
          <w:sz w:val="24"/>
          <w:szCs w:val="24"/>
        </w:rPr>
        <w:t>辆，</w:t>
      </w:r>
      <w:r w:rsidRPr="00A214B0">
        <w:rPr>
          <w:rFonts w:ascii="Times New Roman" w:hAnsi="Times New Roman" w:cs="Times New Roman" w:hint="eastAsia"/>
          <w:color w:val="000000" w:themeColor="text1"/>
          <w:sz w:val="24"/>
          <w:szCs w:val="24"/>
        </w:rPr>
        <w:t>主要包括宇通牌客车及奥迪、大众、斯威、奔驰等品牌小型轿车或小型普通客车。其中账面一辆牌照苏</w:t>
      </w:r>
      <w:r w:rsidRPr="00A214B0">
        <w:rPr>
          <w:rFonts w:ascii="Times New Roman" w:hAnsi="Times New Roman" w:cs="Times New Roman" w:hint="eastAsia"/>
          <w:color w:val="000000" w:themeColor="text1"/>
          <w:sz w:val="24"/>
          <w:szCs w:val="24"/>
        </w:rPr>
        <w:t>A9B029</w:t>
      </w:r>
      <w:r w:rsidRPr="00A214B0">
        <w:rPr>
          <w:rFonts w:ascii="Times New Roman" w:hAnsi="Times New Roman" w:cs="Times New Roman" w:hint="eastAsia"/>
          <w:color w:val="000000" w:themeColor="text1"/>
          <w:sz w:val="24"/>
          <w:szCs w:val="24"/>
        </w:rPr>
        <w:t>的别克牌轿车，自购置以后由香港钟山有限公司江苏办事处使用，并于</w:t>
      </w:r>
      <w:r w:rsidRPr="00A214B0">
        <w:rPr>
          <w:rFonts w:ascii="Times New Roman" w:hAnsi="Times New Roman" w:cs="Times New Roman" w:hint="eastAsia"/>
          <w:color w:val="000000" w:themeColor="text1"/>
          <w:sz w:val="24"/>
          <w:szCs w:val="24"/>
        </w:rPr>
        <w:t>2016</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8</w:t>
      </w:r>
      <w:r w:rsidRPr="00A214B0">
        <w:rPr>
          <w:rFonts w:ascii="Times New Roman" w:hAnsi="Times New Roman" w:cs="Times New Roman" w:hint="eastAsia"/>
          <w:color w:val="000000" w:themeColor="text1"/>
          <w:sz w:val="24"/>
          <w:szCs w:val="24"/>
        </w:rPr>
        <w:t>月</w:t>
      </w:r>
      <w:r w:rsidRPr="00A214B0">
        <w:rPr>
          <w:rFonts w:ascii="Times New Roman" w:hAnsi="Times New Roman" w:cs="Times New Roman" w:hint="eastAsia"/>
          <w:color w:val="000000" w:themeColor="text1"/>
          <w:sz w:val="24"/>
          <w:szCs w:val="24"/>
        </w:rPr>
        <w:t>31</w:t>
      </w:r>
      <w:r w:rsidRPr="00A214B0">
        <w:rPr>
          <w:rFonts w:ascii="Times New Roman" w:hAnsi="Times New Roman" w:cs="Times New Roman" w:hint="eastAsia"/>
          <w:color w:val="000000" w:themeColor="text1"/>
          <w:sz w:val="24"/>
          <w:szCs w:val="24"/>
        </w:rPr>
        <w:t>日转让，香港钟山有限公司江苏办事处取得</w:t>
      </w:r>
      <w:r w:rsidRPr="00A214B0">
        <w:rPr>
          <w:rFonts w:ascii="Times New Roman" w:hAnsi="Times New Roman" w:cs="Times New Roman" w:hint="eastAsia"/>
          <w:color w:val="000000" w:themeColor="text1"/>
          <w:sz w:val="24"/>
          <w:szCs w:val="24"/>
        </w:rPr>
        <w:t>15,000.00</w:t>
      </w:r>
      <w:r w:rsidRPr="00A214B0">
        <w:rPr>
          <w:rFonts w:ascii="Times New Roman" w:hAnsi="Times New Roman" w:cs="Times New Roman" w:hint="eastAsia"/>
          <w:color w:val="000000" w:themeColor="text1"/>
          <w:sz w:val="24"/>
          <w:szCs w:val="24"/>
        </w:rPr>
        <w:t>元收入，账面一辆苏</w:t>
      </w:r>
      <w:r w:rsidRPr="00A214B0">
        <w:rPr>
          <w:rFonts w:ascii="Times New Roman" w:hAnsi="Times New Roman" w:cs="Times New Roman" w:hint="eastAsia"/>
          <w:color w:val="000000" w:themeColor="text1"/>
          <w:sz w:val="24"/>
          <w:szCs w:val="24"/>
        </w:rPr>
        <w:t>MZ1326</w:t>
      </w:r>
      <w:r w:rsidRPr="00A214B0">
        <w:rPr>
          <w:rFonts w:ascii="Times New Roman" w:hAnsi="Times New Roman" w:cs="Times New Roman" w:hint="eastAsia"/>
          <w:color w:val="000000" w:themeColor="text1"/>
          <w:sz w:val="24"/>
          <w:szCs w:val="24"/>
        </w:rPr>
        <w:t>的江铃全顺牌轻型客车已于评估基准日之后处置，企业取得</w:t>
      </w:r>
      <w:r w:rsidRPr="00A214B0">
        <w:rPr>
          <w:rFonts w:ascii="Times New Roman" w:hAnsi="Times New Roman" w:cs="Times New Roman" w:hint="eastAsia"/>
          <w:color w:val="000000" w:themeColor="text1"/>
          <w:sz w:val="24"/>
          <w:szCs w:val="24"/>
        </w:rPr>
        <w:t xml:space="preserve"> 7,844.66</w:t>
      </w:r>
      <w:r w:rsidRPr="00A214B0">
        <w:rPr>
          <w:rFonts w:ascii="Times New Roman" w:hAnsi="Times New Roman" w:cs="Times New Roman" w:hint="eastAsia"/>
          <w:color w:val="000000" w:themeColor="text1"/>
          <w:sz w:val="24"/>
          <w:szCs w:val="24"/>
        </w:rPr>
        <w:t>元的收入，上述已取得企业出具的专项说明。其余车辆主要购置于</w:t>
      </w:r>
      <w:r w:rsidRPr="00A214B0">
        <w:rPr>
          <w:rFonts w:ascii="Times New Roman" w:hAnsi="Times New Roman" w:cs="Times New Roman" w:hint="eastAsia"/>
          <w:color w:val="000000" w:themeColor="text1"/>
          <w:sz w:val="24"/>
          <w:szCs w:val="24"/>
        </w:rPr>
        <w:t>2013</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-2017</w:t>
      </w:r>
      <w:r w:rsidRPr="00A214B0">
        <w:rPr>
          <w:rFonts w:ascii="Times New Roman" w:hAnsi="Times New Roman" w:cs="Times New Roman" w:hint="eastAsia"/>
          <w:color w:val="000000" w:themeColor="text1"/>
          <w:sz w:val="24"/>
          <w:szCs w:val="24"/>
        </w:rPr>
        <w:t>年期间，车辆均配备专职司机，车辆日常的保养均由各司机负责，定期维护保养由专业汽车服务机构负责，经现场勘察了解，该部分车辆维护保养良好，至评估基准日车辆均在正常使用中。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电子设备共</w:t>
      </w:r>
      <w:r w:rsidRPr="00A214B0">
        <w:rPr>
          <w:rFonts w:ascii="Times New Roman" w:hAnsi="Times New Roman" w:cs="Times New Roman" w:hint="eastAsia"/>
          <w:color w:val="000000" w:themeColor="text1"/>
          <w:sz w:val="24"/>
          <w:szCs w:val="24"/>
        </w:rPr>
        <w:t>1297</w:t>
      </w:r>
      <w:r w:rsidRPr="00A214B0">
        <w:rPr>
          <w:rFonts w:ascii="Times New Roman" w:hAnsi="Times New Roman" w:cs="Times New Roman"/>
          <w:color w:val="000000" w:themeColor="text1"/>
          <w:sz w:val="24"/>
          <w:szCs w:val="24"/>
        </w:rPr>
        <w:t>台（套），</w:t>
      </w:r>
      <w:r w:rsidRPr="00A214B0">
        <w:rPr>
          <w:rFonts w:ascii="Times New Roman" w:hAnsi="Times New Roman" w:cs="Times New Roman" w:hint="eastAsia"/>
          <w:color w:val="000000" w:themeColor="text1"/>
          <w:sz w:val="24"/>
          <w:szCs w:val="24"/>
        </w:rPr>
        <w:t>主要</w:t>
      </w:r>
      <w:r w:rsidRPr="00A214B0">
        <w:rPr>
          <w:rFonts w:ascii="Times New Roman" w:hAnsi="Times New Roman" w:cs="Times New Roman"/>
          <w:color w:val="000000" w:themeColor="text1"/>
          <w:sz w:val="24"/>
          <w:szCs w:val="24"/>
        </w:rPr>
        <w:t>包括电脑、打印机、</w:t>
      </w:r>
      <w:r w:rsidRPr="00A214B0">
        <w:rPr>
          <w:rFonts w:ascii="Times New Roman" w:hAnsi="Times New Roman" w:cs="Times New Roman" w:hint="eastAsia"/>
          <w:color w:val="000000" w:themeColor="text1"/>
          <w:sz w:val="24"/>
          <w:szCs w:val="24"/>
        </w:rPr>
        <w:t>扫描仪及办公家具</w:t>
      </w:r>
      <w:r w:rsidRPr="00A214B0">
        <w:rPr>
          <w:rFonts w:ascii="Times New Roman" w:hAnsi="Times New Roman" w:cs="Times New Roman"/>
          <w:color w:val="000000" w:themeColor="text1"/>
          <w:sz w:val="24"/>
          <w:szCs w:val="24"/>
        </w:rPr>
        <w:t>等办公设备。</w:t>
      </w:r>
      <w:r w:rsidRPr="00A214B0">
        <w:rPr>
          <w:rFonts w:ascii="Times New Roman" w:hAnsi="Times New Roman" w:cs="Times New Roman" w:hint="eastAsia"/>
          <w:color w:val="000000" w:themeColor="text1"/>
          <w:sz w:val="24"/>
          <w:szCs w:val="24"/>
        </w:rPr>
        <w:t>电子设备</w:t>
      </w:r>
      <w:r w:rsidRPr="00A214B0">
        <w:rPr>
          <w:rFonts w:ascii="Times New Roman" w:hAnsi="Times New Roman" w:cs="Times New Roman"/>
          <w:color w:val="000000" w:themeColor="text1"/>
          <w:sz w:val="24"/>
          <w:szCs w:val="24"/>
        </w:rPr>
        <w:t>主要购</w:t>
      </w:r>
      <w:r w:rsidRPr="00A214B0">
        <w:rPr>
          <w:rFonts w:ascii="Times New Roman" w:hAnsi="Times New Roman" w:cs="Times New Roman" w:hint="eastAsia"/>
          <w:color w:val="000000" w:themeColor="text1"/>
          <w:sz w:val="24"/>
          <w:szCs w:val="24"/>
        </w:rPr>
        <w:t>置</w:t>
      </w:r>
      <w:r w:rsidRPr="00A214B0">
        <w:rPr>
          <w:rFonts w:ascii="Times New Roman" w:hAnsi="Times New Roman" w:cs="Times New Roman"/>
          <w:color w:val="000000" w:themeColor="text1"/>
          <w:sz w:val="24"/>
          <w:szCs w:val="24"/>
        </w:rPr>
        <w:t>于</w:t>
      </w:r>
      <w:r w:rsidRPr="00A214B0">
        <w:rPr>
          <w:rFonts w:ascii="Times New Roman" w:hAnsi="Times New Roman" w:cs="Times New Roman"/>
          <w:color w:val="000000" w:themeColor="text1"/>
          <w:sz w:val="24"/>
          <w:szCs w:val="24"/>
        </w:rPr>
        <w:t>201</w:t>
      </w:r>
      <w:r w:rsidRPr="00A214B0">
        <w:rPr>
          <w:rFonts w:ascii="Times New Roman" w:hAnsi="Times New Roman" w:cs="Times New Roman" w:hint="eastAsia"/>
          <w:color w:val="000000" w:themeColor="text1"/>
          <w:sz w:val="24"/>
          <w:szCs w:val="24"/>
        </w:rPr>
        <w:t>0</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-201</w:t>
      </w:r>
      <w:r w:rsidRPr="00A214B0">
        <w:rPr>
          <w:rFonts w:ascii="Times New Roman" w:hAnsi="Times New Roman" w:cs="Times New Roman" w:hint="eastAsia"/>
          <w:color w:val="000000" w:themeColor="text1"/>
          <w:sz w:val="24"/>
          <w:szCs w:val="24"/>
        </w:rPr>
        <w:t>9</w:t>
      </w:r>
      <w:r w:rsidRPr="00A214B0">
        <w:rPr>
          <w:rFonts w:ascii="Times New Roman" w:hAnsi="Times New Roman" w:cs="Times New Roman"/>
          <w:color w:val="000000" w:themeColor="text1"/>
          <w:sz w:val="24"/>
          <w:szCs w:val="24"/>
        </w:rPr>
        <w:t>年期间，</w:t>
      </w:r>
      <w:r w:rsidRPr="00A214B0">
        <w:rPr>
          <w:rFonts w:ascii="Times New Roman" w:hAnsi="Times New Roman" w:cs="Times New Roman" w:hint="eastAsia"/>
          <w:color w:val="000000" w:themeColor="text1"/>
          <w:sz w:val="24"/>
          <w:szCs w:val="24"/>
        </w:rPr>
        <w:t>经现场勘察了解，电子设备由企业行政办公室负责管理及故障维修，各使用人员负责日常保养。维护保养情况良好，至评估基准日，电子设备均在正常使用中。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截止评估基准日，企业未申报上述资产涉及的抵（质）押、对外担保、保证等事项，评估人员经现场勘察了解，也未发现上述资产存在抵（质）押、对外担保、保证等事项。</w:t>
      </w:r>
    </w:p>
    <w:p w:rsidR="00D56508" w:rsidRPr="00A214B0" w:rsidRDefault="00D50ECF" w:rsidP="00D50ECF">
      <w:pPr>
        <w:pStyle w:val="a1"/>
        <w:ind w:firstLineChars="200" w:firstLine="480"/>
        <w:outlineLvl w:val="2"/>
        <w:rPr>
          <w:color w:val="000000" w:themeColor="text1"/>
          <w:szCs w:val="24"/>
          <w:lang w:val="en-US"/>
        </w:rPr>
      </w:pPr>
      <w:r w:rsidRPr="00A214B0">
        <w:rPr>
          <w:color w:val="000000" w:themeColor="text1"/>
          <w:szCs w:val="24"/>
          <w:lang w:val="en-US"/>
        </w:rPr>
        <w:t>5</w:t>
      </w:r>
      <w:r w:rsidRPr="00A214B0">
        <w:rPr>
          <w:color w:val="000000" w:themeColor="text1"/>
          <w:szCs w:val="24"/>
          <w:lang w:val="en-US"/>
        </w:rPr>
        <w:t>、</w:t>
      </w:r>
      <w:r w:rsidR="00F1265B" w:rsidRPr="00A214B0">
        <w:rPr>
          <w:color w:val="000000" w:themeColor="text1"/>
          <w:szCs w:val="24"/>
          <w:lang w:val="en-US"/>
        </w:rPr>
        <w:t>在建工程</w:t>
      </w:r>
      <w:bookmarkEnd w:id="20"/>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评估基准日，评估范围内的在建工程为设备安装工程，账面价值</w:t>
      </w:r>
      <w:r w:rsidRPr="00A214B0">
        <w:rPr>
          <w:rFonts w:ascii="Times New Roman" w:hAnsi="Times New Roman" w:cs="Times New Roman"/>
          <w:color w:val="000000" w:themeColor="text1"/>
          <w:kern w:val="0"/>
          <w:sz w:val="24"/>
          <w:szCs w:val="24"/>
        </w:rPr>
        <w:t xml:space="preserve"> 8,265,423.32 </w:t>
      </w:r>
      <w:r w:rsidRPr="00A214B0">
        <w:rPr>
          <w:rFonts w:ascii="Times New Roman" w:hAnsi="Times New Roman" w:cs="Times New Roman"/>
          <w:color w:val="000000" w:themeColor="text1"/>
          <w:kern w:val="0"/>
          <w:sz w:val="24"/>
          <w:szCs w:val="24"/>
        </w:rPr>
        <w:t>元，未计提减值准备，主要包括库区零星土建、环保型混合芳烃装车尾气综合处理回收工艺的研发、尾气回收处理、安全仪表系统、蒸汽管网及电伴热技术改造等工程</w:t>
      </w:r>
      <w:r w:rsidRPr="00A214B0">
        <w:rPr>
          <w:rFonts w:ascii="Times New Roman" w:hAnsi="Times New Roman" w:cs="Times New Roman" w:hint="eastAsia"/>
          <w:color w:val="000000" w:themeColor="text1"/>
          <w:kern w:val="0"/>
          <w:sz w:val="24"/>
          <w:szCs w:val="24"/>
        </w:rPr>
        <w:t>，目前在建工程均已基本完工，处于等待验收状态。</w:t>
      </w:r>
    </w:p>
    <w:p w:rsidR="00D56508" w:rsidRPr="00A214B0" w:rsidRDefault="00F1265B">
      <w:pPr>
        <w:pStyle w:val="20"/>
        <w:ind w:firstLine="480"/>
        <w:rPr>
          <w:rFonts w:ascii="Times New Roman" w:eastAsiaTheme="minorEastAsia" w:hAnsi="Times New Roman"/>
          <w:color w:val="000000" w:themeColor="text1"/>
          <w:szCs w:val="22"/>
        </w:rPr>
      </w:pPr>
      <w:bookmarkStart w:id="21" w:name="_Toc19427"/>
      <w:bookmarkStart w:id="22" w:name="_Toc533773862"/>
      <w:r w:rsidRPr="00A214B0">
        <w:rPr>
          <w:rFonts w:ascii="Times New Roman" w:eastAsiaTheme="minorEastAsia" w:hAnsi="Times New Roman"/>
          <w:color w:val="000000" w:themeColor="text1"/>
          <w:szCs w:val="22"/>
        </w:rPr>
        <w:t>（三）企业申报的账面记录或者未记录的无形资产情况；</w:t>
      </w:r>
      <w:bookmarkEnd w:id="21"/>
      <w:bookmarkEnd w:id="22"/>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w:t>
      </w:r>
      <w:r w:rsidRPr="00A214B0">
        <w:rPr>
          <w:rFonts w:ascii="Times New Roman" w:hAnsi="Times New Roman" w:cs="Times New Roman"/>
          <w:color w:val="000000" w:themeColor="text1"/>
          <w:kern w:val="0"/>
          <w:sz w:val="24"/>
          <w:szCs w:val="24"/>
        </w:rPr>
        <w:t>1</w:t>
      </w:r>
      <w:r w:rsidRPr="00A214B0">
        <w:rPr>
          <w:rFonts w:ascii="Times New Roman" w:hAnsi="Times New Roman" w:cs="Times New Roman"/>
          <w:color w:val="000000" w:themeColor="text1"/>
          <w:kern w:val="0"/>
          <w:sz w:val="24"/>
          <w:szCs w:val="24"/>
        </w:rPr>
        <w:t>）企业申报的账面记录的无形资产</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评估基准日，企业申报的账面记录的无形资产合计</w:t>
      </w:r>
      <w:r w:rsidRPr="00A214B0">
        <w:rPr>
          <w:rFonts w:ascii="Times New Roman" w:hAnsi="Times New Roman" w:cs="Times New Roman"/>
          <w:color w:val="000000" w:themeColor="text1"/>
          <w:kern w:val="0"/>
          <w:sz w:val="24"/>
          <w:szCs w:val="24"/>
        </w:rPr>
        <w:t>4</w:t>
      </w:r>
      <w:r w:rsidRPr="00A214B0">
        <w:rPr>
          <w:rFonts w:ascii="Times New Roman" w:hAnsi="Times New Roman" w:cs="Times New Roman"/>
          <w:color w:val="000000" w:themeColor="text1"/>
          <w:kern w:val="0"/>
          <w:sz w:val="24"/>
          <w:szCs w:val="24"/>
        </w:rPr>
        <w:t>项，其中土地使用权</w:t>
      </w:r>
      <w:r w:rsidRPr="00A214B0">
        <w:rPr>
          <w:rFonts w:ascii="Times New Roman" w:hAnsi="Times New Roman" w:cs="Times New Roman"/>
          <w:color w:val="000000" w:themeColor="text1"/>
          <w:kern w:val="0"/>
          <w:sz w:val="24"/>
          <w:szCs w:val="24"/>
        </w:rPr>
        <w:t>3</w:t>
      </w:r>
      <w:r w:rsidRPr="00A214B0">
        <w:rPr>
          <w:rFonts w:ascii="Times New Roman" w:hAnsi="Times New Roman" w:cs="Times New Roman"/>
          <w:color w:val="000000" w:themeColor="text1"/>
          <w:kern w:val="0"/>
          <w:sz w:val="24"/>
          <w:szCs w:val="24"/>
        </w:rPr>
        <w:t>项、软件使用权</w:t>
      </w:r>
      <w:r w:rsidRPr="00A214B0">
        <w:rPr>
          <w:rFonts w:ascii="Times New Roman" w:hAnsi="Times New Roman" w:cs="Times New Roman"/>
          <w:color w:val="000000" w:themeColor="text1"/>
          <w:kern w:val="0"/>
          <w:sz w:val="24"/>
          <w:szCs w:val="24"/>
        </w:rPr>
        <w:t>1</w:t>
      </w:r>
      <w:r w:rsidRPr="00A214B0">
        <w:rPr>
          <w:rFonts w:ascii="Times New Roman" w:hAnsi="Times New Roman" w:cs="Times New Roman"/>
          <w:color w:val="000000" w:themeColor="text1"/>
          <w:kern w:val="0"/>
          <w:sz w:val="24"/>
          <w:szCs w:val="24"/>
        </w:rPr>
        <w:t>项。</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1.</w:t>
      </w:r>
      <w:r w:rsidRPr="00A214B0">
        <w:rPr>
          <w:rFonts w:ascii="Times New Roman" w:hAnsi="Times New Roman" w:cs="Times New Roman"/>
          <w:color w:val="000000" w:themeColor="text1"/>
          <w:kern w:val="0"/>
          <w:sz w:val="24"/>
          <w:szCs w:val="24"/>
        </w:rPr>
        <w:t>土地使用权</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被评估单位申报的账面记录的</w:t>
      </w:r>
      <w:r w:rsidRPr="00A214B0">
        <w:rPr>
          <w:rFonts w:ascii="Times New Roman" w:hAnsi="Times New Roman" w:cs="Times New Roman"/>
          <w:color w:val="000000" w:themeColor="text1"/>
          <w:kern w:val="0"/>
          <w:sz w:val="24"/>
          <w:szCs w:val="24"/>
        </w:rPr>
        <w:t>3</w:t>
      </w:r>
      <w:r w:rsidRPr="00A214B0">
        <w:rPr>
          <w:rFonts w:ascii="Times New Roman" w:hAnsi="Times New Roman" w:cs="Times New Roman"/>
          <w:color w:val="000000" w:themeColor="text1"/>
          <w:kern w:val="0"/>
          <w:sz w:val="24"/>
          <w:szCs w:val="24"/>
        </w:rPr>
        <w:t>项土地使用权，为江苏海企化工仓储股份有限公司合法拥有的、位于江苏省泰州市高港区永安洲镇疏港一路</w:t>
      </w:r>
      <w:r w:rsidRPr="00A214B0">
        <w:rPr>
          <w:rFonts w:ascii="Times New Roman" w:hAnsi="Times New Roman" w:cs="Times New Roman"/>
          <w:color w:val="000000" w:themeColor="text1"/>
          <w:kern w:val="0"/>
          <w:sz w:val="24"/>
          <w:szCs w:val="24"/>
        </w:rPr>
        <w:t>1</w:t>
      </w:r>
      <w:r w:rsidRPr="00A214B0">
        <w:rPr>
          <w:rFonts w:ascii="Times New Roman" w:hAnsi="Times New Roman" w:cs="Times New Roman"/>
          <w:color w:val="000000" w:themeColor="text1"/>
          <w:kern w:val="0"/>
          <w:sz w:val="24"/>
          <w:szCs w:val="24"/>
        </w:rPr>
        <w:t>号的工业用地，实际用途为工业用地，土地总面积</w:t>
      </w:r>
      <w:r w:rsidRPr="00A214B0">
        <w:rPr>
          <w:rFonts w:ascii="Times New Roman" w:hAnsi="Times New Roman" w:cs="Times New Roman"/>
          <w:color w:val="000000" w:themeColor="text1"/>
          <w:kern w:val="0"/>
          <w:sz w:val="24"/>
          <w:szCs w:val="24"/>
        </w:rPr>
        <w:t>175,591.00</w:t>
      </w:r>
      <w:r w:rsidRPr="00A214B0">
        <w:rPr>
          <w:rFonts w:ascii="Times New Roman" w:hAnsi="Times New Roman" w:cs="Times New Roman"/>
          <w:color w:val="000000" w:themeColor="text1"/>
          <w:kern w:val="0"/>
          <w:sz w:val="24"/>
          <w:szCs w:val="24"/>
        </w:rPr>
        <w:t>平方米，地上已建权属为江苏海企化工仓储股份有限公司一期二期的房屋建筑物，上述土地情况已在对企业价值影响较大的实物资产情况</w:t>
      </w:r>
      <w:r w:rsidRPr="00A214B0">
        <w:rPr>
          <w:rFonts w:ascii="Times New Roman" w:hAnsi="Times New Roman" w:cs="Times New Roman"/>
          <w:color w:val="000000" w:themeColor="text1"/>
          <w:kern w:val="0"/>
          <w:sz w:val="24"/>
          <w:szCs w:val="24"/>
        </w:rPr>
        <w:t>—</w:t>
      </w:r>
      <w:r w:rsidRPr="00A214B0">
        <w:rPr>
          <w:rFonts w:ascii="Times New Roman" w:hAnsi="Times New Roman" w:cs="Times New Roman"/>
          <w:color w:val="000000" w:themeColor="text1"/>
          <w:kern w:val="0"/>
          <w:sz w:val="24"/>
          <w:szCs w:val="24"/>
        </w:rPr>
        <w:t>土地使用权中进行介绍。</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2.</w:t>
      </w:r>
      <w:r w:rsidRPr="00A214B0">
        <w:rPr>
          <w:rFonts w:ascii="Times New Roman" w:hAnsi="Times New Roman" w:cs="Times New Roman"/>
          <w:color w:val="000000" w:themeColor="text1"/>
          <w:kern w:val="0"/>
          <w:sz w:val="24"/>
          <w:szCs w:val="24"/>
        </w:rPr>
        <w:t>软件使用权</w:t>
      </w:r>
    </w:p>
    <w:p w:rsidR="00D56508" w:rsidRPr="00A214B0" w:rsidRDefault="00F1265B">
      <w:pPr>
        <w:pStyle w:val="a1"/>
        <w:rPr>
          <w:color w:val="000000" w:themeColor="text1"/>
          <w:lang w:val="en-US"/>
        </w:rPr>
      </w:pPr>
      <w:r w:rsidRPr="00A214B0">
        <w:rPr>
          <w:color w:val="000000" w:themeColor="text1"/>
          <w:lang w:val="en-US"/>
        </w:rPr>
        <w:t>截至评估基准日，企业申报的账面记录的软件使用权为微软操作系统，于</w:t>
      </w:r>
      <w:r w:rsidRPr="00A214B0">
        <w:rPr>
          <w:color w:val="000000" w:themeColor="text1"/>
          <w:lang w:val="en-US"/>
        </w:rPr>
        <w:t>2018</w:t>
      </w:r>
      <w:r w:rsidRPr="00A214B0">
        <w:rPr>
          <w:color w:val="000000" w:themeColor="text1"/>
          <w:lang w:val="en-US"/>
        </w:rPr>
        <w:t>年</w:t>
      </w:r>
      <w:r w:rsidRPr="00A214B0">
        <w:rPr>
          <w:color w:val="000000" w:themeColor="text1"/>
          <w:lang w:val="en-US"/>
        </w:rPr>
        <w:t>8</w:t>
      </w:r>
      <w:r w:rsidRPr="00A214B0">
        <w:rPr>
          <w:color w:val="000000" w:themeColor="text1"/>
          <w:lang w:val="en-US"/>
        </w:rPr>
        <w:t>月</w:t>
      </w:r>
      <w:r w:rsidRPr="00A214B0">
        <w:rPr>
          <w:rFonts w:hint="eastAsia"/>
          <w:color w:val="000000" w:themeColor="text1"/>
          <w:lang w:val="en-US"/>
        </w:rPr>
        <w:t>外购</w:t>
      </w:r>
      <w:r w:rsidRPr="00A214B0">
        <w:rPr>
          <w:color w:val="000000" w:themeColor="text1"/>
          <w:lang w:val="en-US"/>
        </w:rPr>
        <w:t>取得，软件原始入账价值</w:t>
      </w:r>
      <w:r w:rsidRPr="00A214B0">
        <w:rPr>
          <w:color w:val="000000" w:themeColor="text1"/>
          <w:lang w:val="en-US"/>
        </w:rPr>
        <w:t xml:space="preserve">14,568.97 </w:t>
      </w:r>
      <w:r w:rsidRPr="00A214B0">
        <w:rPr>
          <w:color w:val="000000" w:themeColor="text1"/>
          <w:lang w:val="en-US"/>
        </w:rPr>
        <w:t>元，账面净值</w:t>
      </w:r>
      <w:r w:rsidRPr="00A214B0">
        <w:rPr>
          <w:color w:val="000000" w:themeColor="text1"/>
          <w:lang w:val="en-US"/>
        </w:rPr>
        <w:t xml:space="preserve">10,926.62 </w:t>
      </w:r>
      <w:r w:rsidRPr="00A214B0">
        <w:rPr>
          <w:color w:val="000000" w:themeColor="text1"/>
          <w:lang w:val="en-US"/>
        </w:rPr>
        <w:t>元。</w:t>
      </w:r>
    </w:p>
    <w:p w:rsidR="00D56508" w:rsidRPr="00A214B0" w:rsidRDefault="00F1265B">
      <w:pPr>
        <w:pStyle w:val="a1"/>
        <w:rPr>
          <w:color w:val="000000" w:themeColor="text1"/>
          <w:lang w:val="en-US"/>
        </w:rPr>
      </w:pPr>
      <w:r w:rsidRPr="00A214B0">
        <w:rPr>
          <w:color w:val="000000" w:themeColor="text1"/>
          <w:lang w:val="en-US"/>
        </w:rPr>
        <w:t>（</w:t>
      </w:r>
      <w:r w:rsidRPr="00A214B0">
        <w:rPr>
          <w:color w:val="000000" w:themeColor="text1"/>
          <w:lang w:val="en-US"/>
        </w:rPr>
        <w:t>2</w:t>
      </w:r>
      <w:r w:rsidRPr="00A214B0">
        <w:rPr>
          <w:color w:val="000000" w:themeColor="text1"/>
          <w:lang w:val="en-US"/>
        </w:rPr>
        <w:t>）企业申报的账面未记录的无形资产</w:t>
      </w:r>
    </w:p>
    <w:p w:rsidR="00D56508" w:rsidRPr="00A214B0" w:rsidRDefault="00F1265B">
      <w:pPr>
        <w:pStyle w:val="a1"/>
        <w:rPr>
          <w:color w:val="000000" w:themeColor="text1"/>
          <w:lang w:val="en-US"/>
        </w:rPr>
      </w:pPr>
      <w:r w:rsidRPr="00A214B0">
        <w:rPr>
          <w:color w:val="000000" w:themeColor="text1"/>
          <w:lang w:val="en-US"/>
        </w:rPr>
        <w:t>截至评估基准日，企业申报的账面未记录的无形资产为</w:t>
      </w:r>
      <w:r w:rsidRPr="00A214B0">
        <w:rPr>
          <w:color w:val="000000" w:themeColor="text1"/>
          <w:lang w:val="en-US"/>
        </w:rPr>
        <w:t>19</w:t>
      </w:r>
      <w:r w:rsidRPr="00A214B0">
        <w:rPr>
          <w:color w:val="000000" w:themeColor="text1"/>
          <w:lang w:val="en-US"/>
        </w:rPr>
        <w:t>项实用新型专利、</w:t>
      </w:r>
      <w:r w:rsidRPr="00A214B0">
        <w:rPr>
          <w:color w:val="000000" w:themeColor="text1"/>
          <w:lang w:val="en-US"/>
        </w:rPr>
        <w:t>5</w:t>
      </w:r>
      <w:r w:rsidRPr="00A214B0">
        <w:rPr>
          <w:color w:val="000000" w:themeColor="text1"/>
          <w:lang w:val="en-US"/>
        </w:rPr>
        <w:t>项发明专利、</w:t>
      </w:r>
      <w:r w:rsidRPr="00A214B0">
        <w:rPr>
          <w:color w:val="000000" w:themeColor="text1"/>
          <w:lang w:val="en-US"/>
        </w:rPr>
        <w:t>2</w:t>
      </w:r>
      <w:r w:rsidRPr="00A214B0">
        <w:rPr>
          <w:color w:val="000000" w:themeColor="text1"/>
          <w:lang w:val="en-US"/>
        </w:rPr>
        <w:t>项软件著作权及</w:t>
      </w:r>
      <w:r w:rsidRPr="00A214B0">
        <w:rPr>
          <w:color w:val="000000" w:themeColor="text1"/>
          <w:lang w:val="en-US"/>
        </w:rPr>
        <w:t>10</w:t>
      </w:r>
      <w:r w:rsidRPr="00A214B0">
        <w:rPr>
          <w:color w:val="000000" w:themeColor="text1"/>
          <w:lang w:val="en-US"/>
        </w:rPr>
        <w:t>项商标，具体明细如下：</w:t>
      </w:r>
    </w:p>
    <w:p w:rsidR="00D56508" w:rsidRPr="00A214B0" w:rsidRDefault="00F1265B">
      <w:pPr>
        <w:pStyle w:val="ZW0"/>
        <w:snapToGrid w:val="0"/>
        <w:spacing w:line="240" w:lineRule="auto"/>
        <w:ind w:firstLineChars="200" w:firstLine="480"/>
        <w:jc w:val="center"/>
        <w:rPr>
          <w:rFonts w:ascii="Times New Roman" w:eastAsia="黑体" w:hAnsi="Times New Roman"/>
          <w:color w:val="000000" w:themeColor="text1"/>
          <w:sz w:val="24"/>
          <w:szCs w:val="28"/>
        </w:rPr>
      </w:pPr>
      <w:r w:rsidRPr="00A214B0">
        <w:rPr>
          <w:rFonts w:ascii="Times New Roman" w:eastAsia="黑体" w:hAnsi="Times New Roman"/>
          <w:color w:val="000000" w:themeColor="text1"/>
          <w:sz w:val="24"/>
          <w:szCs w:val="28"/>
        </w:rPr>
        <w:t>商标明细表</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750"/>
        <w:gridCol w:w="1017"/>
        <w:gridCol w:w="1162"/>
        <w:gridCol w:w="1305"/>
        <w:gridCol w:w="3131"/>
      </w:tblGrid>
      <w:tr w:rsidR="00D56508" w:rsidRPr="00A214B0">
        <w:trPr>
          <w:trHeight w:val="556"/>
          <w:tblHeader/>
        </w:trPr>
        <w:tc>
          <w:tcPr>
            <w:tcW w:w="684"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序号</w:t>
            </w:r>
          </w:p>
        </w:tc>
        <w:tc>
          <w:tcPr>
            <w:tcW w:w="1750"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内容或名称</w:t>
            </w:r>
          </w:p>
        </w:tc>
        <w:tc>
          <w:tcPr>
            <w:tcW w:w="1017"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取得日期</w:t>
            </w:r>
          </w:p>
        </w:tc>
        <w:tc>
          <w:tcPr>
            <w:tcW w:w="1162"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法定</w:t>
            </w:r>
            <w:r w:rsidRPr="00A214B0">
              <w:rPr>
                <w:rFonts w:ascii="Times New Roman" w:eastAsia="宋体" w:hAnsi="Times New Roman"/>
                <w:b/>
                <w:color w:val="000000" w:themeColor="text1"/>
                <w:sz w:val="18"/>
                <w:szCs w:val="18"/>
              </w:rPr>
              <w:t>/</w:t>
            </w:r>
            <w:r w:rsidRPr="00A214B0">
              <w:rPr>
                <w:rFonts w:ascii="Times New Roman" w:eastAsia="宋体" w:hAnsi="Times New Roman"/>
                <w:b/>
                <w:color w:val="000000" w:themeColor="text1"/>
                <w:sz w:val="18"/>
                <w:szCs w:val="18"/>
              </w:rPr>
              <w:t>预计使用年限</w:t>
            </w:r>
          </w:p>
        </w:tc>
        <w:tc>
          <w:tcPr>
            <w:tcW w:w="1305"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商标注册号</w:t>
            </w:r>
          </w:p>
        </w:tc>
        <w:tc>
          <w:tcPr>
            <w:tcW w:w="3131"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注册人</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HQCC</w:t>
            </w:r>
          </w:p>
        </w:tc>
        <w:tc>
          <w:tcPr>
            <w:tcW w:w="1017"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single" w:sz="4" w:space="0" w:color="auto"/>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14716472</w:t>
            </w:r>
          </w:p>
        </w:tc>
        <w:tc>
          <w:tcPr>
            <w:tcW w:w="3131"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14716376</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14715471</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14715573</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14715704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14715814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14715878</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14716331</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9</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9464364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rPr>
          <w:trHeight w:val="376"/>
        </w:trPr>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海企物流</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9464330</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bl>
    <w:p w:rsidR="00D56508" w:rsidRPr="00A214B0" w:rsidRDefault="00F1265B">
      <w:pPr>
        <w:pStyle w:val="ZW0"/>
        <w:adjustRightInd/>
        <w:spacing w:line="360" w:lineRule="auto"/>
        <w:ind w:firstLineChars="200" w:firstLine="480"/>
        <w:jc w:val="center"/>
        <w:rPr>
          <w:rFonts w:ascii="Times New Roman" w:eastAsia="黑体" w:hAnsi="Times New Roman"/>
          <w:color w:val="000000" w:themeColor="text1"/>
        </w:rPr>
      </w:pPr>
      <w:r w:rsidRPr="00A214B0">
        <w:rPr>
          <w:rFonts w:ascii="Times New Roman" w:eastAsia="黑体" w:hAnsi="Times New Roman"/>
          <w:bCs/>
          <w:color w:val="000000" w:themeColor="text1"/>
          <w:sz w:val="24"/>
        </w:rPr>
        <w:t>专利明细表</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777"/>
        <w:gridCol w:w="2074"/>
        <w:gridCol w:w="1629"/>
        <w:gridCol w:w="1779"/>
        <w:gridCol w:w="1084"/>
      </w:tblGrid>
      <w:tr w:rsidR="00D56508" w:rsidRPr="00A214B0">
        <w:trPr>
          <w:trHeight w:val="315"/>
          <w:tblHeader/>
        </w:trPr>
        <w:tc>
          <w:tcPr>
            <w:tcW w:w="706"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序号</w:t>
            </w:r>
          </w:p>
        </w:tc>
        <w:tc>
          <w:tcPr>
            <w:tcW w:w="1777"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注册号</w:t>
            </w:r>
            <w:r w:rsidRPr="00A214B0">
              <w:rPr>
                <w:rFonts w:ascii="Times New Roman" w:hAnsi="Times New Roman" w:cs="Times New Roman"/>
                <w:b/>
                <w:bCs/>
                <w:color w:val="000000" w:themeColor="text1"/>
                <w:sz w:val="18"/>
                <w:szCs w:val="18"/>
              </w:rPr>
              <w:t>/</w:t>
            </w:r>
            <w:r w:rsidRPr="00A214B0">
              <w:rPr>
                <w:rFonts w:ascii="Times New Roman" w:hAnsi="Times New Roman" w:cs="Times New Roman"/>
                <w:b/>
                <w:bCs/>
                <w:color w:val="000000" w:themeColor="text1"/>
                <w:sz w:val="18"/>
                <w:szCs w:val="18"/>
              </w:rPr>
              <w:t>专利号</w:t>
            </w:r>
          </w:p>
        </w:tc>
        <w:tc>
          <w:tcPr>
            <w:tcW w:w="2074"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名称</w:t>
            </w:r>
          </w:p>
        </w:tc>
        <w:tc>
          <w:tcPr>
            <w:tcW w:w="1629"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类型</w:t>
            </w:r>
          </w:p>
        </w:tc>
        <w:tc>
          <w:tcPr>
            <w:tcW w:w="1779"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专利权人</w:t>
            </w:r>
          </w:p>
        </w:tc>
        <w:tc>
          <w:tcPr>
            <w:tcW w:w="1084"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授权公告日</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ZL201110388097.4</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一种用于储藏罐的异丁醛尾气回收和处理的方法及其装置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2015.11.18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ZL201310264220.0</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一种环氧丙烷卸船装置及卸船工艺</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2016.5.18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ZL201310263948.1</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一种环氧丙烷存储装置及存储工艺</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2016.08.10</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ZL201511009203.8</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一种在装卸过程中防止醋酸外泄的保护装置及其操作方法</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2016.10.26</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ZL201610102597.X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一种减少混合芳烃挥发和气味的仓储装置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2017.03.29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ZL201120360520.5</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一种用于软管上绕置防磨绳的工具总成</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2012.08.01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ZL201120360504.6</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一种油水分离盒</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2012.08.29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ZL201120486060.0</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一种用于储藏罐的异丁醛尾气回收和处理的装置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2012.08.01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9</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ZL201220295550.7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一种贮罐洗罐的污水处理装置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2013.01.16</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ZL201220507618.3</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一种用于运输软管的推车</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2013.05.08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11</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ZL201220671110.7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一种移动式电加热水箱</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2013.06.19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12</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ZL201220671093.7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一种发车台安全绳索</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2013.06.19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13</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ZL201220649268.4</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一种用于对储藏罐进行喷淋降温的装置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2013.12.04</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14</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ZL201320377384.X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一种环氧丙烷卸船装置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2014.3.5</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15</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ZL201320377472.X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一种环氧丙烷存储装置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2014.03.05</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16</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 201320652224.1</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一种用于码头上改善供水质量的出水管</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2014.5.21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17</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ZL201420841840.6</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一种用于输料管接头的立式可移动升降支撑装置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2015.08.12</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18</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ZL201520757885.X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一种利用风冷空压机热能加速液氮汽化的装置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2016.2.3</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19</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ZL201520950576.4</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一种储存易挥发液化品的储罐装置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2016.4.27</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20</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ZL201520980224.3</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一种移动式槽罐车卸货端口控制装置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2016.04.27</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21</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ZL201520876796.7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一种用于大型储罐的氮封系统多层级控制装置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2016.05.18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22</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ZL201620068359.7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一种用于泵站管线的安全排气管道</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2016.8.31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23</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 201721022354.1</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一种船用气液分离器</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2018/4/17</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24</w:t>
            </w:r>
          </w:p>
        </w:tc>
        <w:tc>
          <w:tcPr>
            <w:tcW w:w="1777" w:type="dxa"/>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ZL201721022367.9</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一种新型废气收集系统及废气处理系统</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2018/6/12</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ZL201811532554.0</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一种可对废气进行汇集具有压力调节机构的储罐设备</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26</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ZL201811612450.0</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一种环保型膜耦合式废气处理装置</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27</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ZL201710699763.3</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一种新型污水收集系统及污水处理系统</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499"/>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28</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ZL201710699783.0</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一种船用气液分离器</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29</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ZL201710699787.9</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一种新型废气收集系统及废气处理系统</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bl>
    <w:p w:rsidR="00D56508" w:rsidRPr="00A214B0" w:rsidRDefault="00F1265B">
      <w:pPr>
        <w:pStyle w:val="ZW0"/>
        <w:adjustRightInd/>
        <w:spacing w:line="360" w:lineRule="auto"/>
        <w:ind w:firstLineChars="200" w:firstLine="480"/>
        <w:jc w:val="center"/>
        <w:rPr>
          <w:rFonts w:ascii="Times New Roman" w:eastAsia="黑体" w:hAnsi="Times New Roman"/>
          <w:color w:val="000000" w:themeColor="text1"/>
        </w:rPr>
      </w:pPr>
      <w:r w:rsidRPr="00A214B0">
        <w:rPr>
          <w:rFonts w:ascii="Times New Roman" w:eastAsia="黑体" w:hAnsi="Times New Roman"/>
          <w:bCs/>
          <w:color w:val="000000" w:themeColor="text1"/>
          <w:sz w:val="24"/>
        </w:rPr>
        <w:t xml:space="preserve">　软件著作权明细表</w:t>
      </w:r>
    </w:p>
    <w:tbl>
      <w:tblPr>
        <w:tblW w:w="8863" w:type="dxa"/>
        <w:tblLayout w:type="fixed"/>
        <w:tblCellMar>
          <w:left w:w="0" w:type="dxa"/>
          <w:right w:w="0" w:type="dxa"/>
        </w:tblCellMar>
        <w:tblLook w:val="04A0" w:firstRow="1" w:lastRow="0" w:firstColumn="1" w:lastColumn="0" w:noHBand="0" w:noVBand="1"/>
      </w:tblPr>
      <w:tblGrid>
        <w:gridCol w:w="737"/>
        <w:gridCol w:w="4445"/>
        <w:gridCol w:w="1195"/>
        <w:gridCol w:w="2486"/>
      </w:tblGrid>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b/>
                <w:bCs/>
                <w:color w:val="000000" w:themeColor="text1"/>
                <w:sz w:val="18"/>
                <w:szCs w:val="18"/>
              </w:rPr>
            </w:pPr>
            <w:r w:rsidRPr="00A214B0">
              <w:rPr>
                <w:rFonts w:ascii="Times New Roman" w:eastAsia="宋体" w:hAnsi="Times New Roman" w:cs="Times New Roman"/>
                <w:b/>
                <w:bCs/>
                <w:color w:val="000000" w:themeColor="text1"/>
                <w:kern w:val="0"/>
                <w:sz w:val="18"/>
                <w:szCs w:val="18"/>
                <w:lang w:bidi="ar"/>
              </w:rPr>
              <w:t>序号</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内容或名称</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取得日期</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注册号或专利号</w:t>
            </w:r>
          </w:p>
        </w:tc>
      </w:tr>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1</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海企化工仓储关键设备巡检管理系统</w:t>
            </w:r>
            <w:r w:rsidRPr="00A214B0">
              <w:rPr>
                <w:rFonts w:ascii="Times New Roman" w:eastAsia="宋体" w:hAnsi="Times New Roman" w:cs="Times New Roman"/>
                <w:color w:val="000000" w:themeColor="text1"/>
                <w:kern w:val="0"/>
                <w:sz w:val="18"/>
                <w:szCs w:val="18"/>
                <w:lang w:bidi="ar"/>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2016/04</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软著登字第</w:t>
            </w:r>
            <w:r w:rsidRPr="00A214B0">
              <w:rPr>
                <w:rFonts w:ascii="Times New Roman" w:eastAsia="宋体" w:hAnsi="Times New Roman" w:cs="Times New Roman"/>
                <w:color w:val="000000" w:themeColor="text1"/>
                <w:kern w:val="0"/>
                <w:sz w:val="18"/>
                <w:szCs w:val="18"/>
                <w:lang w:bidi="ar"/>
              </w:rPr>
              <w:t>2555365</w:t>
            </w:r>
            <w:r w:rsidRPr="00A214B0">
              <w:rPr>
                <w:rFonts w:ascii="Times New Roman" w:eastAsia="宋体" w:hAnsi="Times New Roman" w:cs="Times New Roman"/>
                <w:color w:val="000000" w:themeColor="text1"/>
                <w:kern w:val="0"/>
                <w:sz w:val="18"/>
                <w:szCs w:val="18"/>
                <w:lang w:bidi="ar"/>
              </w:rPr>
              <w:t>号</w:t>
            </w:r>
          </w:p>
        </w:tc>
      </w:tr>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2</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液化品码头装卸船作业远程智能控制系统</w:t>
            </w:r>
            <w:r w:rsidRPr="00A214B0">
              <w:rPr>
                <w:rFonts w:ascii="Times New Roman" w:eastAsia="宋体" w:hAnsi="Times New Roman" w:cs="Times New Roman"/>
                <w:color w:val="000000" w:themeColor="text1"/>
                <w:kern w:val="0"/>
                <w:sz w:val="18"/>
                <w:szCs w:val="18"/>
                <w:lang w:bidi="ar"/>
              </w:rPr>
              <w:t>V1.0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2014/12</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软著登字第</w:t>
            </w:r>
            <w:r w:rsidRPr="00A214B0">
              <w:rPr>
                <w:rFonts w:ascii="Times New Roman" w:eastAsia="宋体" w:hAnsi="Times New Roman" w:cs="Times New Roman"/>
                <w:color w:val="000000" w:themeColor="text1"/>
                <w:kern w:val="0"/>
                <w:sz w:val="18"/>
                <w:szCs w:val="18"/>
                <w:lang w:bidi="ar"/>
              </w:rPr>
              <w:t>0957935</w:t>
            </w:r>
            <w:r w:rsidRPr="00A214B0">
              <w:rPr>
                <w:rFonts w:ascii="Times New Roman" w:eastAsia="宋体" w:hAnsi="Times New Roman" w:cs="Times New Roman"/>
                <w:color w:val="000000" w:themeColor="text1"/>
                <w:kern w:val="0"/>
                <w:sz w:val="18"/>
                <w:szCs w:val="18"/>
                <w:lang w:bidi="ar"/>
              </w:rPr>
              <w:t>号</w:t>
            </w:r>
          </w:p>
        </w:tc>
      </w:tr>
    </w:tbl>
    <w:p w:rsidR="00D56508" w:rsidRPr="00A214B0" w:rsidRDefault="00F1265B">
      <w:pPr>
        <w:pStyle w:val="20"/>
        <w:spacing w:beforeLines="50" w:before="250"/>
        <w:ind w:firstLine="480"/>
        <w:rPr>
          <w:rFonts w:ascii="Times New Roman" w:eastAsiaTheme="minorEastAsia" w:hAnsi="Times New Roman"/>
          <w:color w:val="000000" w:themeColor="text1"/>
          <w:szCs w:val="22"/>
        </w:rPr>
      </w:pPr>
      <w:bookmarkStart w:id="23" w:name="_Toc533773863"/>
      <w:bookmarkStart w:id="24" w:name="_Toc15250"/>
      <w:r w:rsidRPr="00A214B0">
        <w:rPr>
          <w:rFonts w:ascii="Times New Roman" w:eastAsiaTheme="minorEastAsia" w:hAnsi="Times New Roman"/>
          <w:color w:val="000000" w:themeColor="text1"/>
          <w:szCs w:val="22"/>
        </w:rPr>
        <w:t>（四）企业拥有的表外资产情况</w:t>
      </w:r>
      <w:bookmarkEnd w:id="23"/>
      <w:bookmarkEnd w:id="24"/>
    </w:p>
    <w:p w:rsidR="00D56508" w:rsidRPr="00A214B0" w:rsidRDefault="00F1265B">
      <w:pPr>
        <w:ind w:firstLine="560"/>
        <w:rPr>
          <w:rFonts w:ascii="Times New Roman" w:hAnsi="Times New Roman" w:cs="Times New Roman"/>
          <w:color w:val="000000" w:themeColor="text1"/>
          <w:sz w:val="24"/>
        </w:rPr>
      </w:pPr>
      <w:bookmarkStart w:id="25" w:name="_Toc533773864"/>
      <w:r w:rsidRPr="00A214B0">
        <w:rPr>
          <w:rFonts w:ascii="Times New Roman" w:hAnsi="Times New Roman" w:cs="Times New Roman"/>
          <w:color w:val="000000" w:themeColor="text1"/>
          <w:sz w:val="24"/>
        </w:rPr>
        <w:t>截至评估基准日，除上述账面未记录的无形资产，企业无其余表外资产。</w:t>
      </w:r>
    </w:p>
    <w:p w:rsidR="00D56508" w:rsidRPr="00A214B0" w:rsidRDefault="00F1265B">
      <w:pPr>
        <w:pStyle w:val="20"/>
        <w:ind w:firstLine="480"/>
        <w:rPr>
          <w:rFonts w:ascii="Times New Roman" w:eastAsiaTheme="minorEastAsia" w:hAnsi="Times New Roman"/>
          <w:color w:val="000000" w:themeColor="text1"/>
          <w:szCs w:val="22"/>
        </w:rPr>
      </w:pPr>
      <w:bookmarkStart w:id="26" w:name="_Toc18282"/>
      <w:r w:rsidRPr="00A214B0">
        <w:rPr>
          <w:rFonts w:ascii="Times New Roman" w:eastAsiaTheme="minorEastAsia" w:hAnsi="Times New Roman"/>
          <w:color w:val="000000" w:themeColor="text1"/>
          <w:szCs w:val="22"/>
        </w:rPr>
        <w:t>（五）引用其他机构出具的报告结论所涉及的相关资产</w:t>
      </w:r>
      <w:bookmarkEnd w:id="25"/>
      <w:bookmarkEnd w:id="26"/>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rPr>
      </w:pPr>
      <w:r w:rsidRPr="00A214B0">
        <w:rPr>
          <w:rFonts w:ascii="Times New Roman" w:hAnsi="Times New Roman" w:cs="Times New Roman"/>
          <w:color w:val="000000" w:themeColor="text1"/>
          <w:sz w:val="24"/>
          <w:szCs w:val="24"/>
        </w:rPr>
        <w:t>本次评估报告中基准日各项资产及负债账面值系天衡会计师事务所</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特殊普通合伙</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审计报告结果。审计报告所附财务报表及财务报表附注已经江苏海企化工仓储股份有限公司管理层批准报出。审计报告是本次资产评估申报的依据，也是评估的重要依据之一。</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27" w:name="_Toc23076"/>
      <w:r w:rsidRPr="00A214B0">
        <w:rPr>
          <w:rFonts w:ascii="Times New Roman" w:eastAsia="黑体" w:hAnsi="Times New Roman" w:cs="Times New Roman"/>
          <w:color w:val="000000" w:themeColor="text1"/>
          <w:sz w:val="28"/>
          <w:szCs w:val="28"/>
        </w:rPr>
        <w:t>二、资产核实情况总体说明</w:t>
      </w:r>
      <w:bookmarkEnd w:id="17"/>
      <w:bookmarkEnd w:id="27"/>
    </w:p>
    <w:p w:rsidR="00D56508" w:rsidRPr="00A214B0" w:rsidRDefault="00F1265B">
      <w:pPr>
        <w:autoSpaceDE w:val="0"/>
        <w:autoSpaceDN w:val="0"/>
        <w:adjustRightInd w:val="0"/>
        <w:snapToGrid w:val="0"/>
        <w:spacing w:line="360" w:lineRule="auto"/>
        <w:ind w:firstLineChars="200" w:firstLine="480"/>
        <w:textAlignment w:val="baseline"/>
        <w:outlineLvl w:val="1"/>
        <w:rPr>
          <w:rFonts w:ascii="Times New Roman" w:hAnsi="Times New Roman" w:cs="Times New Roman"/>
          <w:color w:val="000000" w:themeColor="text1"/>
          <w:sz w:val="24"/>
          <w:szCs w:val="24"/>
        </w:rPr>
      </w:pPr>
      <w:bookmarkStart w:id="28" w:name="_Toc27235"/>
      <w:bookmarkStart w:id="29" w:name="_Toc495311564"/>
      <w:r w:rsidRPr="00A214B0">
        <w:rPr>
          <w:rFonts w:ascii="Times New Roman" w:hAnsi="Times New Roman" w:cs="Times New Roman"/>
          <w:color w:val="000000" w:themeColor="text1"/>
          <w:sz w:val="24"/>
          <w:szCs w:val="24"/>
        </w:rPr>
        <w:t>（一）资产核实的组织与实施过程</w:t>
      </w:r>
      <w:bookmarkEnd w:id="28"/>
      <w:bookmarkEnd w:id="29"/>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根据资产评估规范和资产评估准则，我公司项目组的评估人员于</w:t>
      </w:r>
      <w:r w:rsidRPr="00A214B0">
        <w:rPr>
          <w:rFonts w:ascii="Times New Roman" w:hAnsi="Times New Roman" w:cs="Times New Roman"/>
          <w:color w:val="000000" w:themeColor="text1"/>
          <w:sz w:val="24"/>
          <w:szCs w:val="24"/>
        </w:rPr>
        <w:t>2019</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7</w:t>
      </w:r>
      <w:r w:rsidRPr="00A214B0">
        <w:rPr>
          <w:rFonts w:ascii="Times New Roman" w:hAnsi="Times New Roman" w:cs="Times New Roman"/>
          <w:color w:val="000000" w:themeColor="text1"/>
          <w:sz w:val="24"/>
          <w:szCs w:val="24"/>
        </w:rPr>
        <w:t>月</w:t>
      </w:r>
      <w:r w:rsidRPr="00A214B0">
        <w:rPr>
          <w:rFonts w:ascii="Times New Roman" w:hAnsi="Times New Roman" w:cs="Times New Roman"/>
          <w:color w:val="000000" w:themeColor="text1"/>
          <w:sz w:val="24"/>
          <w:szCs w:val="24"/>
        </w:rPr>
        <w:t>10</w:t>
      </w:r>
      <w:r w:rsidRPr="00A214B0">
        <w:rPr>
          <w:rFonts w:ascii="Times New Roman" w:hAnsi="Times New Roman" w:cs="Times New Roman"/>
          <w:color w:val="000000" w:themeColor="text1"/>
          <w:sz w:val="24"/>
          <w:szCs w:val="24"/>
        </w:rPr>
        <w:t>日至</w:t>
      </w:r>
      <w:r w:rsidRPr="00A214B0">
        <w:rPr>
          <w:rFonts w:ascii="Times New Roman" w:hAnsi="Times New Roman" w:cs="Times New Roman"/>
          <w:color w:val="000000" w:themeColor="text1"/>
          <w:sz w:val="24"/>
          <w:szCs w:val="24"/>
        </w:rPr>
        <w:t>2019</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7</w:t>
      </w:r>
      <w:r w:rsidRPr="00A214B0">
        <w:rPr>
          <w:rFonts w:ascii="Times New Roman" w:hAnsi="Times New Roman" w:cs="Times New Roman"/>
          <w:color w:val="000000" w:themeColor="text1"/>
          <w:sz w:val="24"/>
          <w:szCs w:val="24"/>
        </w:rPr>
        <w:t>月</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日对评估范围涉及的资产和负债进行了核实。核实前，成立了项目经理负责制、按专业分工的资产核实小组，制定了切实可行的现场核实实施计划。现场工作结束后，对现场核实情况进行了汇总，对收集的评估资料进行了分类整理。</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1. </w:t>
      </w:r>
      <w:r w:rsidRPr="00A214B0">
        <w:rPr>
          <w:rFonts w:ascii="Times New Roman" w:hAnsi="Times New Roman" w:cs="Times New Roman"/>
          <w:color w:val="000000" w:themeColor="text1"/>
          <w:sz w:val="24"/>
          <w:szCs w:val="24"/>
        </w:rPr>
        <w:t>核实工作的步骤</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）指导被评估单位资产申报工作</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根据资产评估的工作程序，我公司项目组人员进驻被评估单位后，指导被评估单位在资产自查的基础上，按照评估机构提供的</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资产评估明细表</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资产状况调查表</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及其填报要求，对评估范围内的各项资产及负债进行逐一登记填报，同时，指导被评估单位按照</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评估资料清单</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准备相关资料。</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）审查评估基础资料</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人员在查阅有关会计记录、财务报表和反映评估对象状态、性能、经济技术指标、合同发票及其他形成过程资料的基础上，对被评估单位提供的资产申报明细表进行初步审查，使申报表中的资产不重不漏、数量及价值等信息反映准确和完整。</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）现场勘察和数据核实</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依据被评估单位提供的资产申报明细表，组织评估人员根据资产的分布情况、进行现场核实。根据核实结果，由评估人员和被评估单位相关人员共同对原申报明细表上反映的资产信息据实进行修改、补充和完善，使其表、实信息一致。</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）资产权属核实</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资产权属核实主要是对评估范围内的存货、房产、设备、无形资产</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土地使用权状况的核实。对房产的权属，主要通过查阅权属资料的方式进行核实；对设备的权属，主要通过查阅购置合同、发票和付款凭证及现场盘点的方式进行核实；对无形资产</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土地使用权，主要通过查验不动产权证情况的方式进行核实。</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）调查被评估单位的经营状况</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通过查阅被评估单位的历史经营财务资料、与被评估单位各职能部门有关人员进行访谈并结合现场勘察等方式，全面了解被评估单位的经营状况及其所具备的持续经营条件。</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2. </w:t>
      </w:r>
      <w:r w:rsidRPr="00A214B0">
        <w:rPr>
          <w:rFonts w:ascii="Times New Roman" w:hAnsi="Times New Roman" w:cs="Times New Roman"/>
          <w:color w:val="000000" w:themeColor="text1"/>
          <w:sz w:val="24"/>
          <w:szCs w:val="24"/>
        </w:rPr>
        <w:t>核实的主要方法</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根据评估范围内的资产技术特征及具体情况，采取了不同的核实方法。</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）非实物性流动资产的核实</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库存现金进行实地盘点，根据评估基准日与盘点日之间的现金出库金额、现金入库金额和盘点日余额倒推出评估基准日现金余额进行核对；对银行存款与银行对账单、银行存款余额调节表核对；对应收票据查阅应收票据备查簿，逐笔核实应收票据的种类、号数和出票日、票面金额、交易合同号和付款人、承兑人、背书人的姓名或单位名称、到期日等资料确认其真实性；对往来款项的业务性质、发生时间及发生内容进行了解，对重大往来项目查阅其期后相关资料确认，其他往来采用替代程序，在清查核实的基础上对发生额进行测试（包括是否具有合法、有效的原始凭证），通过实施上述程序，确定相应资产的真实性和完整性；对其他流动资产的核实，通过核对账簿、原始凭证、验算等方式进行核实；根据核实情况，形成资产信息完整并可供本次评估机构作价估值的流动资产的评估明细表。</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）实物性流动资产的核实</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对存货的核实，通过核查被评估单位自行盘点记录，抽查盘点实物，核对进出库账单等方式核实其数量、规格型号和形成时间，同时，关注其实体状况；根据核实，最终形成可供作价估值的存货评估明细表。</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）非流动资产的核实</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 xml:space="preserve"> </w:t>
      </w:r>
      <w:r w:rsidRPr="00A214B0">
        <w:rPr>
          <w:rFonts w:ascii="Times New Roman" w:hAnsi="Times New Roman" w:cs="Times New Roman"/>
          <w:color w:val="000000" w:themeColor="text1"/>
          <w:sz w:val="24"/>
          <w:szCs w:val="24"/>
        </w:rPr>
        <w:t>固定资产</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固定资产，采用以物对账、以账查物的方式进行核实。对房屋建筑物，根据账面记录、资产评估申报表及其他资料，逐一核对该类资产的项数、结构型式、建筑面积或实物数量、竣工时间及其使用现状；对设备根据设备台账、购置票据、</w:t>
      </w:r>
      <w:r w:rsidRPr="00A214B0">
        <w:rPr>
          <w:rFonts w:ascii="Times New Roman" w:hAnsi="Times New Roman" w:cs="Times New Roman" w:hint="eastAsia"/>
          <w:color w:val="000000" w:themeColor="text1"/>
          <w:sz w:val="24"/>
          <w:szCs w:val="24"/>
        </w:rPr>
        <w:t>车辆权属资料以及</w:t>
      </w:r>
      <w:r w:rsidRPr="00A214B0">
        <w:rPr>
          <w:rFonts w:ascii="Times New Roman" w:hAnsi="Times New Roman" w:cs="Times New Roman"/>
          <w:color w:val="000000" w:themeColor="text1"/>
          <w:sz w:val="24"/>
          <w:szCs w:val="24"/>
        </w:rPr>
        <w:t>有关结算资料，逐一核对设备的名称、台套数量、规格型号、购置及启用时间、目前的运行状况。</w:t>
      </w:r>
    </w:p>
    <w:p w:rsidR="00D56508" w:rsidRPr="00A214B0" w:rsidRDefault="00F1265B">
      <w:pPr>
        <w:numPr>
          <w:ilvl w:val="0"/>
          <w:numId w:val="6"/>
        </w:num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在建工程</w:t>
      </w:r>
    </w:p>
    <w:p w:rsidR="00D56508" w:rsidRPr="00A214B0" w:rsidRDefault="00F1265B">
      <w:pPr>
        <w:numPr>
          <w:ilvl w:val="255"/>
          <w:numId w:val="0"/>
        </w:num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对在建工程，采用以物对账、以账查物的方式进行核实。根据账面记录、资产评估申报表及其他资料，逐一核对该类资产的项数、建筑面积或实物数量、开工时间及完工进度等。</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）无形资产</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土地使用权</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土地使用权，在查验土地权属的基础上，核实土地的位置、实际用途、开发利用状况；同时对土地所在地区的社会经济发展状况、基础设施条件及场地自然条件等影响地价的有关因素，通过现场勘察、网上查询等方式进行核实和了解，并根据核实情况进行房地匹配。</w:t>
      </w:r>
    </w:p>
    <w:p w:rsidR="00D56508" w:rsidRPr="00A214B0" w:rsidRDefault="00F1265B">
      <w:pPr>
        <w:pStyle w:val="a1"/>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4</w:t>
      </w:r>
      <w:r w:rsidRPr="00A214B0">
        <w:rPr>
          <w:color w:val="000000" w:themeColor="text1"/>
          <w:szCs w:val="24"/>
          <w:lang w:val="en-US"/>
        </w:rPr>
        <w:t>）长期股权投资</w:t>
      </w:r>
    </w:p>
    <w:p w:rsidR="00D56508" w:rsidRPr="00A214B0" w:rsidRDefault="00F1265B">
      <w:pPr>
        <w:pStyle w:val="a1"/>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对长期股权投资，评估人员收集相关原始投资凭证，并取得长投单位的章程、验资资料等进行核对。</w:t>
      </w:r>
    </w:p>
    <w:p w:rsidR="00D56508" w:rsidRPr="00A214B0" w:rsidRDefault="00F1265B">
      <w:pPr>
        <w:pStyle w:val="a1"/>
        <w:numPr>
          <w:ilvl w:val="0"/>
          <w:numId w:val="7"/>
        </w:numPr>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无形资产</w:t>
      </w:r>
      <w:r w:rsidRPr="00A214B0">
        <w:rPr>
          <w:rStyle w:val="aff1"/>
          <w:rFonts w:eastAsiaTheme="minorEastAsia"/>
          <w:color w:val="000000" w:themeColor="text1"/>
          <w:sz w:val="24"/>
          <w:szCs w:val="24"/>
          <w:lang w:val="en-US"/>
        </w:rPr>
        <w:t>-</w:t>
      </w:r>
      <w:r w:rsidRPr="00A214B0">
        <w:rPr>
          <w:rStyle w:val="aff1"/>
          <w:rFonts w:eastAsiaTheme="minorEastAsia"/>
          <w:color w:val="000000" w:themeColor="text1"/>
          <w:sz w:val="24"/>
          <w:szCs w:val="24"/>
          <w:lang w:val="en-US"/>
        </w:rPr>
        <w:t>其他无形资产</w:t>
      </w:r>
    </w:p>
    <w:p w:rsidR="00D56508" w:rsidRPr="00A214B0" w:rsidRDefault="00F1265B">
      <w:pPr>
        <w:pStyle w:val="a1"/>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评估人员收集相关专利证权证、商标权证、计算机软件著作权证，向企业有关人员了解各专利利用情况，并到相关网站进行核实其有效性。</w:t>
      </w:r>
    </w:p>
    <w:p w:rsidR="00D56508" w:rsidRPr="00A214B0" w:rsidRDefault="00F1265B">
      <w:pPr>
        <w:pStyle w:val="a1"/>
        <w:numPr>
          <w:ilvl w:val="0"/>
          <w:numId w:val="7"/>
        </w:numPr>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长期待摊费用</w:t>
      </w:r>
    </w:p>
    <w:p w:rsidR="00D56508" w:rsidRPr="00A214B0" w:rsidRDefault="00F1265B">
      <w:pPr>
        <w:pStyle w:val="a1"/>
        <w:numPr>
          <w:ilvl w:val="255"/>
          <w:numId w:val="0"/>
        </w:numPr>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对长期待摊费用，评估人员通过收集相关合同、发票、付款凭证，以及现场勘查进行核实。</w:t>
      </w:r>
    </w:p>
    <w:p w:rsidR="00D56508" w:rsidRPr="00A214B0" w:rsidRDefault="00F1265B">
      <w:pPr>
        <w:pStyle w:val="a1"/>
        <w:numPr>
          <w:ilvl w:val="255"/>
          <w:numId w:val="0"/>
        </w:numPr>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7</w:t>
      </w:r>
      <w:r w:rsidRPr="00A214B0">
        <w:rPr>
          <w:color w:val="000000" w:themeColor="text1"/>
          <w:szCs w:val="24"/>
          <w:lang w:val="en-US"/>
        </w:rPr>
        <w:t>）递延所得税资产</w:t>
      </w:r>
    </w:p>
    <w:p w:rsidR="00D56508" w:rsidRPr="00A214B0" w:rsidRDefault="00F1265B">
      <w:pPr>
        <w:pStyle w:val="a1"/>
        <w:autoSpaceDE w:val="0"/>
        <w:autoSpaceDN w:val="0"/>
        <w:adjustRightInd w:val="0"/>
        <w:snapToGrid w:val="0"/>
        <w:spacing w:line="360" w:lineRule="auto"/>
        <w:ind w:firstLineChars="200" w:firstLine="480"/>
        <w:textAlignment w:val="baseline"/>
        <w:rPr>
          <w:color w:val="000000" w:themeColor="text1"/>
        </w:rPr>
      </w:pPr>
      <w:r w:rsidRPr="00A214B0">
        <w:rPr>
          <w:color w:val="000000" w:themeColor="text1"/>
          <w:szCs w:val="24"/>
          <w:lang w:val="en-US"/>
        </w:rPr>
        <w:t xml:space="preserve"> </w:t>
      </w:r>
      <w:r w:rsidRPr="00A214B0">
        <w:rPr>
          <w:color w:val="000000" w:themeColor="text1"/>
        </w:rPr>
        <w:t>对于递延所得税资产的核实，获取递延所得税资产测算过程等方式进行核实。</w:t>
      </w:r>
    </w:p>
    <w:p w:rsidR="00D56508" w:rsidRPr="00A214B0" w:rsidRDefault="00F1265B">
      <w:pPr>
        <w:pStyle w:val="a1"/>
        <w:autoSpaceDE w:val="0"/>
        <w:autoSpaceDN w:val="0"/>
        <w:adjustRightInd w:val="0"/>
        <w:snapToGrid w:val="0"/>
        <w:spacing w:line="360" w:lineRule="auto"/>
        <w:ind w:firstLineChars="200" w:firstLine="480"/>
        <w:textAlignment w:val="baseline"/>
        <w:rPr>
          <w:color w:val="000000" w:themeColor="text1"/>
          <w:lang w:val="en-US"/>
        </w:rPr>
      </w:pPr>
      <w:r w:rsidRPr="00A214B0">
        <w:rPr>
          <w:rFonts w:hint="eastAsia"/>
          <w:color w:val="000000" w:themeColor="text1"/>
          <w:lang w:val="en-US"/>
        </w:rPr>
        <w:t>8</w:t>
      </w:r>
      <w:r w:rsidRPr="00A214B0">
        <w:rPr>
          <w:rFonts w:hint="eastAsia"/>
          <w:color w:val="000000" w:themeColor="text1"/>
          <w:lang w:val="en-US"/>
        </w:rPr>
        <w:t>）其他非流动资产</w:t>
      </w:r>
    </w:p>
    <w:p w:rsidR="00D56508" w:rsidRPr="00A214B0" w:rsidRDefault="00F1265B">
      <w:pPr>
        <w:pStyle w:val="a1"/>
        <w:autoSpaceDE w:val="0"/>
        <w:autoSpaceDN w:val="0"/>
        <w:adjustRightInd w:val="0"/>
        <w:snapToGrid w:val="0"/>
        <w:spacing w:line="360" w:lineRule="auto"/>
        <w:ind w:firstLineChars="200" w:firstLine="480"/>
        <w:textAlignment w:val="baseline"/>
        <w:rPr>
          <w:color w:val="000000" w:themeColor="text1"/>
          <w:lang w:val="en-US"/>
        </w:rPr>
      </w:pPr>
      <w:r w:rsidRPr="00A214B0">
        <w:rPr>
          <w:color w:val="000000" w:themeColor="text1"/>
          <w:szCs w:val="24"/>
        </w:rPr>
        <w:t>对其他非流动资产查阅相关凭证及合同，对资产的真实性进行核实；</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）负债的核实</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本次对负债采用核查有关账簿、原始凭证并结合会计师的审计情况等方式，对各项债务的形成背景、方式和形成时间、结算对象和业务内容等历史信息进行了逐一核实，对各项负债是否为公司评估基准日后实际承担的债务数额、有无确定的债权人等进行了确认。同时，对账表不符、核算有误的账项及时进行账务调整。以保证公司在评估基准日债务项目真实、完整，且对应债务金额准确无误。</w:t>
      </w:r>
    </w:p>
    <w:p w:rsidR="00D56508" w:rsidRPr="00A214B0" w:rsidRDefault="00F1265B">
      <w:pPr>
        <w:autoSpaceDE w:val="0"/>
        <w:autoSpaceDN w:val="0"/>
        <w:ind w:firstLineChars="200" w:firstLine="480"/>
        <w:textAlignment w:val="baseline"/>
        <w:outlineLvl w:val="1"/>
        <w:rPr>
          <w:rFonts w:ascii="Times New Roman" w:hAnsi="Times New Roman" w:cs="Times New Roman"/>
          <w:color w:val="000000" w:themeColor="text1"/>
          <w:sz w:val="24"/>
          <w:szCs w:val="24"/>
        </w:rPr>
      </w:pPr>
      <w:bookmarkStart w:id="30" w:name="_Toc495311565"/>
      <w:bookmarkStart w:id="31" w:name="_Toc24273"/>
      <w:bookmarkStart w:id="32" w:name="_Toc242002419"/>
      <w:r w:rsidRPr="00A214B0">
        <w:rPr>
          <w:rFonts w:ascii="Times New Roman" w:hAnsi="Times New Roman" w:cs="Times New Roman"/>
          <w:color w:val="000000" w:themeColor="text1"/>
          <w:sz w:val="24"/>
          <w:szCs w:val="24"/>
        </w:rPr>
        <w:t>（二）影响资产核实的事项及处理方法</w:t>
      </w:r>
      <w:bookmarkEnd w:id="30"/>
      <w:bookmarkEnd w:id="31"/>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1.</w:t>
      </w:r>
      <w:r w:rsidRPr="00A214B0">
        <w:rPr>
          <w:rFonts w:ascii="Times New Roman" w:hAnsi="Times New Roman" w:cs="Times New Roman"/>
          <w:color w:val="000000" w:themeColor="text1"/>
          <w:sz w:val="24"/>
          <w:szCs w:val="24"/>
        </w:rPr>
        <w:t>本次委估机器设备中的</w:t>
      </w:r>
      <w:r w:rsidRPr="00A214B0">
        <w:rPr>
          <w:rFonts w:ascii="Times New Roman" w:hAnsi="Times New Roman" w:cs="Times New Roman"/>
          <w:color w:val="000000" w:themeColor="text1"/>
          <w:sz w:val="24"/>
          <w:szCs w:val="24"/>
        </w:rPr>
        <w:t>70</w:t>
      </w:r>
      <w:r w:rsidRPr="00A214B0">
        <w:rPr>
          <w:rFonts w:ascii="Times New Roman" w:hAnsi="Times New Roman" w:cs="Times New Roman"/>
          <w:color w:val="000000" w:themeColor="text1"/>
          <w:sz w:val="24"/>
          <w:szCs w:val="24"/>
        </w:rPr>
        <w:t>台立式储罐由被评估单位申报，由于储罐中储藏着危险化学品，评估人员未能对储罐内部材质、容积等规格进行检测，仅核查了该部分设备的检验报告原件，其上次检验时间为</w:t>
      </w:r>
      <w:r w:rsidRPr="00A214B0">
        <w:rPr>
          <w:rFonts w:ascii="Times New Roman" w:hAnsi="Times New Roman" w:cs="Times New Roman"/>
          <w:color w:val="000000" w:themeColor="text1"/>
          <w:sz w:val="24"/>
          <w:szCs w:val="24"/>
        </w:rPr>
        <w:t>2017</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11</w:t>
      </w:r>
      <w:r w:rsidRPr="00A214B0">
        <w:rPr>
          <w:rFonts w:ascii="Times New Roman" w:hAnsi="Times New Roman" w:cs="Times New Roman"/>
          <w:color w:val="000000" w:themeColor="text1"/>
          <w:sz w:val="24"/>
          <w:szCs w:val="24"/>
        </w:rPr>
        <w:t>月至</w:t>
      </w:r>
      <w:r w:rsidRPr="00A214B0">
        <w:rPr>
          <w:rFonts w:ascii="Times New Roman" w:hAnsi="Times New Roman" w:cs="Times New Roman"/>
          <w:color w:val="000000" w:themeColor="text1"/>
          <w:sz w:val="24"/>
          <w:szCs w:val="24"/>
        </w:rPr>
        <w:t>2019</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月之间，检验周期为</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年，均在有效期内。</w:t>
      </w:r>
    </w:p>
    <w:p w:rsidR="00D56508" w:rsidRPr="00A214B0" w:rsidRDefault="00F1265B">
      <w:pPr>
        <w:pStyle w:val="a1"/>
        <w:rPr>
          <w:color w:val="000000" w:themeColor="text1"/>
          <w:lang w:val="en-US"/>
        </w:rPr>
      </w:pPr>
      <w:r w:rsidRPr="00A214B0">
        <w:rPr>
          <w:rFonts w:hint="eastAsia"/>
          <w:color w:val="000000" w:themeColor="text1"/>
          <w:szCs w:val="24"/>
          <w:lang w:val="en-US"/>
        </w:rPr>
        <w:t>2.</w:t>
      </w:r>
      <w:r w:rsidRPr="00A214B0">
        <w:rPr>
          <w:rFonts w:hint="eastAsia"/>
          <w:color w:val="000000" w:themeColor="text1"/>
          <w:szCs w:val="24"/>
          <w:lang w:val="en-US"/>
        </w:rPr>
        <w:t>本次房屋建筑物中的基础工程、墙体内的管线工程为隐蔽工程，无法进行现场核实，本次根据房屋建设施工合同、造价资料确定。</w:t>
      </w:r>
    </w:p>
    <w:p w:rsidR="00D56508" w:rsidRPr="00A214B0" w:rsidRDefault="00F1265B">
      <w:pPr>
        <w:autoSpaceDE w:val="0"/>
        <w:autoSpaceDN w:val="0"/>
        <w:ind w:firstLineChars="200" w:firstLine="480"/>
        <w:textAlignment w:val="baseline"/>
        <w:outlineLvl w:val="1"/>
        <w:rPr>
          <w:rFonts w:ascii="Times New Roman" w:hAnsi="Times New Roman" w:cs="Times New Roman"/>
          <w:color w:val="000000" w:themeColor="text1"/>
          <w:sz w:val="24"/>
          <w:szCs w:val="24"/>
        </w:rPr>
      </w:pPr>
      <w:bookmarkStart w:id="33" w:name="_Toc22203"/>
      <w:bookmarkStart w:id="34" w:name="_Toc495311566"/>
      <w:r w:rsidRPr="00A214B0">
        <w:rPr>
          <w:rFonts w:ascii="Times New Roman" w:hAnsi="Times New Roman" w:cs="Times New Roman"/>
          <w:color w:val="000000" w:themeColor="text1"/>
          <w:sz w:val="24"/>
          <w:szCs w:val="24"/>
        </w:rPr>
        <w:t>（三）资产核实结论</w:t>
      </w:r>
      <w:bookmarkEnd w:id="32"/>
      <w:bookmarkEnd w:id="33"/>
      <w:bookmarkEnd w:id="34"/>
    </w:p>
    <w:bookmarkEnd w:id="11"/>
    <w:bookmarkEnd w:id="12"/>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经过评估人员现场清查盘点，核实评估范围内的资产情况，发现</w:t>
      </w:r>
      <w:r w:rsidRPr="00A214B0">
        <w:rPr>
          <w:rFonts w:ascii="Times New Roman" w:hAnsi="Times New Roman" w:cs="Times New Roman"/>
          <w:color w:val="000000" w:themeColor="text1"/>
          <w:sz w:val="24"/>
          <w:szCs w:val="24"/>
        </w:rPr>
        <w:t>19</w:t>
      </w:r>
      <w:r w:rsidRPr="00A214B0">
        <w:rPr>
          <w:rFonts w:ascii="Times New Roman" w:hAnsi="Times New Roman" w:cs="Times New Roman"/>
          <w:color w:val="000000" w:themeColor="text1"/>
          <w:sz w:val="24"/>
          <w:szCs w:val="24"/>
        </w:rPr>
        <w:t>项实用新型专利、</w:t>
      </w: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项发明专利、</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项软件著作权及</w:t>
      </w:r>
      <w:r w:rsidRPr="00A214B0">
        <w:rPr>
          <w:rFonts w:ascii="Times New Roman" w:hAnsi="Times New Roman" w:cs="Times New Roman"/>
          <w:color w:val="000000" w:themeColor="text1"/>
          <w:sz w:val="24"/>
          <w:szCs w:val="24"/>
        </w:rPr>
        <w:t>10</w:t>
      </w:r>
      <w:r w:rsidRPr="00A214B0">
        <w:rPr>
          <w:rFonts w:ascii="Times New Roman" w:hAnsi="Times New Roman" w:cs="Times New Roman"/>
          <w:color w:val="000000" w:themeColor="text1"/>
          <w:sz w:val="24"/>
          <w:szCs w:val="24"/>
        </w:rPr>
        <w:t>项商标等账面未记录的无形资产，具体明细如下：</w:t>
      </w:r>
    </w:p>
    <w:p w:rsidR="00D56508" w:rsidRPr="00A214B0" w:rsidRDefault="00F1265B">
      <w:pPr>
        <w:pStyle w:val="ZW0"/>
        <w:snapToGrid w:val="0"/>
        <w:spacing w:line="240" w:lineRule="auto"/>
        <w:ind w:firstLineChars="200" w:firstLine="480"/>
        <w:rPr>
          <w:rFonts w:ascii="Times New Roman" w:eastAsia="黑体" w:hAnsi="Times New Roman"/>
          <w:color w:val="000000" w:themeColor="text1"/>
          <w:sz w:val="24"/>
          <w:szCs w:val="28"/>
        </w:rPr>
      </w:pPr>
      <w:r w:rsidRPr="00A214B0">
        <w:rPr>
          <w:rFonts w:ascii="Times New Roman" w:eastAsia="黑体" w:hAnsi="Times New Roman"/>
          <w:bCs/>
          <w:color w:val="000000" w:themeColor="text1"/>
          <w:sz w:val="24"/>
        </w:rPr>
        <w:t>表</w:t>
      </w:r>
      <w:r w:rsidRPr="00A214B0">
        <w:rPr>
          <w:rFonts w:ascii="Times New Roman" w:eastAsia="黑体" w:hAnsi="Times New Roman"/>
          <w:bCs/>
          <w:color w:val="000000" w:themeColor="text1"/>
          <w:sz w:val="24"/>
        </w:rPr>
        <w:t xml:space="preserve">3-1                     </w:t>
      </w:r>
      <w:r w:rsidRPr="00A214B0">
        <w:rPr>
          <w:rFonts w:ascii="Times New Roman" w:eastAsia="黑体" w:hAnsi="Times New Roman"/>
          <w:color w:val="000000" w:themeColor="text1"/>
          <w:sz w:val="24"/>
          <w:szCs w:val="28"/>
        </w:rPr>
        <w:t>商标明细表</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750"/>
        <w:gridCol w:w="1017"/>
        <w:gridCol w:w="1162"/>
        <w:gridCol w:w="1305"/>
        <w:gridCol w:w="3131"/>
      </w:tblGrid>
      <w:tr w:rsidR="00D56508" w:rsidRPr="00A214B0">
        <w:trPr>
          <w:trHeight w:val="556"/>
          <w:tblHeader/>
        </w:trPr>
        <w:tc>
          <w:tcPr>
            <w:tcW w:w="684"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序号</w:t>
            </w:r>
          </w:p>
        </w:tc>
        <w:tc>
          <w:tcPr>
            <w:tcW w:w="1750"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内容或名称</w:t>
            </w:r>
          </w:p>
        </w:tc>
        <w:tc>
          <w:tcPr>
            <w:tcW w:w="1017"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取得日期</w:t>
            </w:r>
          </w:p>
        </w:tc>
        <w:tc>
          <w:tcPr>
            <w:tcW w:w="1162"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法定</w:t>
            </w:r>
            <w:r w:rsidRPr="00A214B0">
              <w:rPr>
                <w:rFonts w:ascii="Times New Roman" w:eastAsia="宋体" w:hAnsi="Times New Roman"/>
                <w:b/>
                <w:color w:val="000000" w:themeColor="text1"/>
                <w:sz w:val="18"/>
                <w:szCs w:val="18"/>
              </w:rPr>
              <w:t>/</w:t>
            </w:r>
            <w:r w:rsidRPr="00A214B0">
              <w:rPr>
                <w:rFonts w:ascii="Times New Roman" w:eastAsia="宋体" w:hAnsi="Times New Roman"/>
                <w:b/>
                <w:color w:val="000000" w:themeColor="text1"/>
                <w:sz w:val="18"/>
                <w:szCs w:val="18"/>
              </w:rPr>
              <w:t>预计使用年限</w:t>
            </w:r>
          </w:p>
        </w:tc>
        <w:tc>
          <w:tcPr>
            <w:tcW w:w="1305"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商标注册号</w:t>
            </w:r>
          </w:p>
        </w:tc>
        <w:tc>
          <w:tcPr>
            <w:tcW w:w="3131"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注册人</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HQCC</w:t>
            </w:r>
          </w:p>
        </w:tc>
        <w:tc>
          <w:tcPr>
            <w:tcW w:w="1017"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single" w:sz="4" w:space="0" w:color="auto"/>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14716472</w:t>
            </w:r>
          </w:p>
        </w:tc>
        <w:tc>
          <w:tcPr>
            <w:tcW w:w="3131"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14716376</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14715471</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14715573</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14715704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14715814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14715878</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14716331</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9</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9464364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rPr>
          <w:trHeight w:val="376"/>
        </w:trPr>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海企物流</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9464330</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bl>
    <w:p w:rsidR="00D56508" w:rsidRPr="00A214B0" w:rsidRDefault="00F1265B">
      <w:pPr>
        <w:pStyle w:val="ZW0"/>
        <w:adjustRightInd/>
        <w:spacing w:line="360" w:lineRule="auto"/>
        <w:ind w:firstLineChars="200" w:firstLine="480"/>
        <w:jc w:val="center"/>
        <w:rPr>
          <w:rFonts w:ascii="Times New Roman" w:eastAsia="黑体" w:hAnsi="Times New Roman"/>
          <w:color w:val="000000" w:themeColor="text1"/>
        </w:rPr>
      </w:pPr>
      <w:r w:rsidRPr="00A214B0">
        <w:rPr>
          <w:rFonts w:ascii="Times New Roman" w:eastAsia="黑体" w:hAnsi="Times New Roman"/>
          <w:bCs/>
          <w:color w:val="000000" w:themeColor="text1"/>
          <w:sz w:val="24"/>
        </w:rPr>
        <w:t>表</w:t>
      </w:r>
      <w:r w:rsidRPr="00A214B0">
        <w:rPr>
          <w:rFonts w:ascii="Times New Roman" w:eastAsia="黑体" w:hAnsi="Times New Roman"/>
          <w:bCs/>
          <w:color w:val="000000" w:themeColor="text1"/>
          <w:sz w:val="24"/>
        </w:rPr>
        <w:t xml:space="preserve">3-2  </w:t>
      </w:r>
      <w:r w:rsidRPr="00A214B0">
        <w:rPr>
          <w:rFonts w:ascii="Times New Roman" w:eastAsia="黑体" w:hAnsi="Times New Roman"/>
          <w:bCs/>
          <w:color w:val="000000" w:themeColor="text1"/>
          <w:sz w:val="24"/>
        </w:rPr>
        <w:t xml:space="preserve">　　　专利明细表</w:t>
      </w:r>
    </w:p>
    <w:tbl>
      <w:tblPr>
        <w:tblW w:w="9578" w:type="dxa"/>
        <w:jc w:val="center"/>
        <w:tblLayout w:type="fixed"/>
        <w:tblLook w:val="04A0" w:firstRow="1" w:lastRow="0" w:firstColumn="1" w:lastColumn="0" w:noHBand="0" w:noVBand="1"/>
      </w:tblPr>
      <w:tblGrid>
        <w:gridCol w:w="578"/>
        <w:gridCol w:w="2156"/>
        <w:gridCol w:w="1691"/>
        <w:gridCol w:w="1297"/>
        <w:gridCol w:w="2736"/>
        <w:gridCol w:w="1120"/>
      </w:tblGrid>
      <w:tr w:rsidR="00D56508" w:rsidRPr="00A214B0">
        <w:trPr>
          <w:trHeight w:val="315"/>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序号</w:t>
            </w:r>
          </w:p>
        </w:tc>
        <w:tc>
          <w:tcPr>
            <w:tcW w:w="2156"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内容或名称</w:t>
            </w:r>
          </w:p>
        </w:tc>
        <w:tc>
          <w:tcPr>
            <w:tcW w:w="1691"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专利号</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类型</w:t>
            </w:r>
          </w:p>
        </w:tc>
        <w:tc>
          <w:tcPr>
            <w:tcW w:w="2736"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专利权人</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授权公告日</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一种用于储藏罐的异丁醛尾气回收和处理的方法及其装置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ZL201110388097.4</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发明专利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2015.11.18</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一种环氧丙烷卸船装置及卸船工艺</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ZL201310264220.0</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发明专利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2016.05.18</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一种环氧丙烷存储装置及存储工艺</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ZL201310263948.1</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发明专利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2016.08.10</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一种在装卸过程中防止醋酸外泄的保护装置及其操作方法</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ZL201511009203.8</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发明专利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2016.10.26</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一种减少混合芳烃挥发和气味的仓储装置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ZL201610102597.X</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发明专利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2017.03.29</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一种用于软管上绕置防磨绳的工具总成</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ZL201120360520.5</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2012.08.01</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一种油水分离盒</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ZL201120360504.6</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2012.08.29</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一种用于储藏罐的异丁醛尾气回收和处理的装置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ZL201120486060.0</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2012.08.01</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9</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一种贮罐洗罐的污水处理装置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ZL201220295550.7</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2013.01.16</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一种用于运输软管的推车</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ZL201220507618.3</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2013.05.08</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11</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一种移动式电加热水箱</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ZL201220671110.7</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2013.06.19</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12</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一种发车台安全绳索</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ZL201220671093.7</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2013.06.19</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13</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一种用于对储藏罐进行喷淋降温的装置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ZL201220649268.4</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2013.12.04</w:t>
            </w:r>
          </w:p>
        </w:tc>
      </w:tr>
      <w:tr w:rsidR="00D56508" w:rsidRPr="00A214B0">
        <w:trPr>
          <w:trHeight w:val="31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14</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一种环氧丙烷卸船装置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ZL201320377384.X</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2014.03.05</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15</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一种环氧丙烷存储装置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ZL201320377472.X</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2014.03.05</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16</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一种用于码头上改善供水质量的出水管</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ZL201320652224.1</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2014.05.21</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17</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一种用于输料管接头的立式可移动升降支撑装置</w:t>
            </w:r>
            <w:r w:rsidRPr="00A214B0">
              <w:rPr>
                <w:rFonts w:ascii="Times New Roman" w:hAnsi="Times New Roman" w:cs="Times New Roman"/>
                <w:color w:val="000000" w:themeColor="text1"/>
                <w:sz w:val="18"/>
                <w:szCs w:val="20"/>
              </w:rPr>
              <w:t xml:space="preserve"> </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ZL201420841840.6</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2015.08.12</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18</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一种利用风冷空压机热能加速液氮汽化的装置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ZL201520757885.X</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2016.2.3</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19</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一种储存易挥发液化品的储罐装置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ZL201520950576.4</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2016.4.27</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20</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一种移动式槽罐车卸货端口控制装置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ZL201520980224.3</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2016.04.27</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21</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一种用于大型储罐的氮封系统多层级控制装置</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ZL201520876796.7</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2016.05.18</w:t>
            </w:r>
          </w:p>
        </w:tc>
      </w:tr>
      <w:tr w:rsidR="00D56508" w:rsidRPr="00A214B0">
        <w:trPr>
          <w:trHeight w:val="45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22</w:t>
            </w:r>
          </w:p>
        </w:tc>
        <w:tc>
          <w:tcPr>
            <w:tcW w:w="2156"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一种用于泵站管线的安全排气管道</w:t>
            </w:r>
          </w:p>
        </w:tc>
        <w:tc>
          <w:tcPr>
            <w:tcW w:w="1691"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ZL201620068359.7</w:t>
            </w:r>
          </w:p>
        </w:tc>
        <w:tc>
          <w:tcPr>
            <w:tcW w:w="1297"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2016.8.31</w:t>
            </w:r>
          </w:p>
        </w:tc>
      </w:tr>
      <w:tr w:rsidR="00D56508" w:rsidRPr="00A214B0">
        <w:trPr>
          <w:trHeight w:val="45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23</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left"/>
              <w:textAlignment w:val="center"/>
              <w:rPr>
                <w:rFonts w:ascii="Times New Roman" w:hAnsi="Times New Roman" w:cs="Times New Roman"/>
                <w:color w:val="000000" w:themeColor="text1"/>
                <w:sz w:val="18"/>
                <w:szCs w:val="20"/>
              </w:rPr>
            </w:pPr>
            <w:r w:rsidRPr="00A214B0">
              <w:rPr>
                <w:rFonts w:ascii="Times New Roman" w:eastAsia="宋体" w:hAnsi="Times New Roman" w:cs="Times New Roman"/>
                <w:color w:val="000000" w:themeColor="text1"/>
                <w:kern w:val="0"/>
                <w:sz w:val="20"/>
                <w:szCs w:val="20"/>
                <w:lang w:bidi="ar"/>
              </w:rPr>
              <w:t>一种船用气液分离器</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ZL201721022354.1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left"/>
              <w:textAlignment w:val="center"/>
              <w:rPr>
                <w:rFonts w:ascii="Times New Roman" w:hAnsi="Times New Roman" w:cs="Times New Roman"/>
                <w:color w:val="000000" w:themeColor="text1"/>
                <w:sz w:val="18"/>
                <w:szCs w:val="20"/>
              </w:rPr>
            </w:pPr>
            <w:r w:rsidRPr="00A214B0">
              <w:rPr>
                <w:rFonts w:ascii="Times New Roman" w:eastAsia="宋体" w:hAnsi="Times New Roman" w:cs="Times New Roman"/>
                <w:color w:val="000000" w:themeColor="text1"/>
                <w:kern w:val="0"/>
                <w:sz w:val="20"/>
                <w:szCs w:val="20"/>
                <w:lang w:bidi="ar"/>
              </w:rPr>
              <w:t>2018.4.17</w:t>
            </w:r>
          </w:p>
        </w:tc>
      </w:tr>
      <w:tr w:rsidR="00D56508" w:rsidRPr="00A214B0">
        <w:trPr>
          <w:trHeight w:val="45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24</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left"/>
              <w:textAlignment w:val="center"/>
              <w:rPr>
                <w:rFonts w:ascii="Times New Roman" w:hAnsi="Times New Roman" w:cs="Times New Roman"/>
                <w:color w:val="000000" w:themeColor="text1"/>
                <w:sz w:val="18"/>
                <w:szCs w:val="20"/>
              </w:rPr>
            </w:pPr>
            <w:r w:rsidRPr="00A214B0">
              <w:rPr>
                <w:rFonts w:ascii="Times New Roman" w:eastAsia="宋体" w:hAnsi="Times New Roman" w:cs="Times New Roman"/>
                <w:color w:val="000000" w:themeColor="text1"/>
                <w:kern w:val="0"/>
                <w:sz w:val="20"/>
                <w:szCs w:val="20"/>
                <w:lang w:bidi="ar"/>
              </w:rPr>
              <w:t>一种新型废气收集系统及废气处理系统</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ZL201721022367.9</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实用新型专利</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江苏海企化工仓储股份有限公司</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left"/>
              <w:textAlignment w:val="center"/>
              <w:rPr>
                <w:rFonts w:ascii="Times New Roman" w:hAnsi="Times New Roman" w:cs="Times New Roman"/>
                <w:color w:val="000000" w:themeColor="text1"/>
                <w:sz w:val="18"/>
                <w:szCs w:val="20"/>
              </w:rPr>
            </w:pPr>
            <w:r w:rsidRPr="00A214B0">
              <w:rPr>
                <w:rFonts w:ascii="Times New Roman" w:eastAsia="宋体" w:hAnsi="Times New Roman" w:cs="Times New Roman"/>
                <w:color w:val="000000" w:themeColor="text1"/>
                <w:kern w:val="0"/>
                <w:sz w:val="20"/>
                <w:szCs w:val="20"/>
                <w:lang w:bidi="ar"/>
              </w:rPr>
              <w:t>2018.6.12</w:t>
            </w:r>
          </w:p>
        </w:tc>
      </w:tr>
    </w:tbl>
    <w:p w:rsidR="00D56508" w:rsidRPr="00A214B0" w:rsidRDefault="00F1265B">
      <w:pPr>
        <w:pStyle w:val="ZW0"/>
        <w:adjustRightInd/>
        <w:spacing w:line="360" w:lineRule="auto"/>
        <w:ind w:firstLineChars="200" w:firstLine="480"/>
        <w:jc w:val="center"/>
        <w:rPr>
          <w:rFonts w:ascii="Times New Roman" w:eastAsia="黑体" w:hAnsi="Times New Roman"/>
          <w:color w:val="000000" w:themeColor="text1"/>
        </w:rPr>
      </w:pPr>
      <w:r w:rsidRPr="00A214B0">
        <w:rPr>
          <w:rFonts w:ascii="Times New Roman" w:eastAsia="黑体" w:hAnsi="Times New Roman"/>
          <w:bCs/>
          <w:color w:val="000000" w:themeColor="text1"/>
          <w:sz w:val="24"/>
        </w:rPr>
        <w:t>表</w:t>
      </w:r>
      <w:r w:rsidRPr="00A214B0">
        <w:rPr>
          <w:rFonts w:ascii="Times New Roman" w:eastAsia="黑体" w:hAnsi="Times New Roman"/>
          <w:bCs/>
          <w:color w:val="000000" w:themeColor="text1"/>
          <w:sz w:val="24"/>
        </w:rPr>
        <w:t xml:space="preserve">3-3  </w:t>
      </w:r>
      <w:r w:rsidRPr="00A214B0">
        <w:rPr>
          <w:rFonts w:ascii="Times New Roman" w:eastAsia="黑体" w:hAnsi="Times New Roman"/>
          <w:bCs/>
          <w:color w:val="000000" w:themeColor="text1"/>
          <w:sz w:val="24"/>
        </w:rPr>
        <w:t xml:space="preserve">　　　软件著作权明细表</w:t>
      </w:r>
    </w:p>
    <w:tbl>
      <w:tblPr>
        <w:tblW w:w="8863" w:type="dxa"/>
        <w:tblLayout w:type="fixed"/>
        <w:tblCellMar>
          <w:left w:w="0" w:type="dxa"/>
          <w:right w:w="0" w:type="dxa"/>
        </w:tblCellMar>
        <w:tblLook w:val="04A0" w:firstRow="1" w:lastRow="0" w:firstColumn="1" w:lastColumn="0" w:noHBand="0" w:noVBand="1"/>
      </w:tblPr>
      <w:tblGrid>
        <w:gridCol w:w="737"/>
        <w:gridCol w:w="4445"/>
        <w:gridCol w:w="1195"/>
        <w:gridCol w:w="2486"/>
      </w:tblGrid>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b/>
                <w:bCs/>
                <w:color w:val="000000" w:themeColor="text1"/>
                <w:sz w:val="18"/>
                <w:szCs w:val="18"/>
              </w:rPr>
            </w:pPr>
            <w:r w:rsidRPr="00A214B0">
              <w:rPr>
                <w:rFonts w:ascii="Times New Roman" w:eastAsia="宋体" w:hAnsi="Times New Roman" w:cs="Times New Roman"/>
                <w:b/>
                <w:bCs/>
                <w:color w:val="000000" w:themeColor="text1"/>
                <w:kern w:val="0"/>
                <w:sz w:val="18"/>
                <w:szCs w:val="18"/>
                <w:lang w:bidi="ar"/>
              </w:rPr>
              <w:t>序号</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内容或名称</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取得日期</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注册号或专利号</w:t>
            </w:r>
          </w:p>
        </w:tc>
      </w:tr>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1</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海企化工仓储关键设备巡检管理系统</w:t>
            </w:r>
            <w:r w:rsidRPr="00A214B0">
              <w:rPr>
                <w:rFonts w:ascii="Times New Roman" w:eastAsia="宋体" w:hAnsi="Times New Roman" w:cs="Times New Roman"/>
                <w:color w:val="000000" w:themeColor="text1"/>
                <w:kern w:val="0"/>
                <w:sz w:val="18"/>
                <w:szCs w:val="18"/>
                <w:lang w:bidi="ar"/>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2016/04</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软著登字第</w:t>
            </w:r>
            <w:r w:rsidRPr="00A214B0">
              <w:rPr>
                <w:rFonts w:ascii="Times New Roman" w:eastAsia="宋体" w:hAnsi="Times New Roman" w:cs="Times New Roman"/>
                <w:color w:val="000000" w:themeColor="text1"/>
                <w:kern w:val="0"/>
                <w:sz w:val="18"/>
                <w:szCs w:val="18"/>
                <w:lang w:bidi="ar"/>
              </w:rPr>
              <w:t>2555365</w:t>
            </w:r>
            <w:r w:rsidRPr="00A214B0">
              <w:rPr>
                <w:rFonts w:ascii="Times New Roman" w:eastAsia="宋体" w:hAnsi="Times New Roman" w:cs="Times New Roman"/>
                <w:color w:val="000000" w:themeColor="text1"/>
                <w:kern w:val="0"/>
                <w:sz w:val="18"/>
                <w:szCs w:val="18"/>
                <w:lang w:bidi="ar"/>
              </w:rPr>
              <w:t>号</w:t>
            </w:r>
          </w:p>
        </w:tc>
      </w:tr>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2</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液化品码头装卸船作业远程智能控制系统</w:t>
            </w:r>
            <w:r w:rsidRPr="00A214B0">
              <w:rPr>
                <w:rFonts w:ascii="Times New Roman" w:eastAsia="宋体" w:hAnsi="Times New Roman" w:cs="Times New Roman"/>
                <w:color w:val="000000" w:themeColor="text1"/>
                <w:kern w:val="0"/>
                <w:sz w:val="18"/>
                <w:szCs w:val="18"/>
                <w:lang w:bidi="ar"/>
              </w:rPr>
              <w:t>V1.0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2014/12</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软著登字第</w:t>
            </w:r>
            <w:r w:rsidRPr="00A214B0">
              <w:rPr>
                <w:rFonts w:ascii="Times New Roman" w:eastAsia="宋体" w:hAnsi="Times New Roman" w:cs="Times New Roman"/>
                <w:color w:val="000000" w:themeColor="text1"/>
                <w:kern w:val="0"/>
                <w:sz w:val="18"/>
                <w:szCs w:val="18"/>
                <w:lang w:bidi="ar"/>
              </w:rPr>
              <w:t>0957935</w:t>
            </w:r>
            <w:r w:rsidRPr="00A214B0">
              <w:rPr>
                <w:rFonts w:ascii="Times New Roman" w:eastAsia="宋体" w:hAnsi="Times New Roman" w:cs="Times New Roman"/>
                <w:color w:val="000000" w:themeColor="text1"/>
                <w:kern w:val="0"/>
                <w:sz w:val="18"/>
                <w:szCs w:val="18"/>
                <w:lang w:bidi="ar"/>
              </w:rPr>
              <w:t>号</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另外，</w:t>
      </w:r>
      <w:r w:rsidRPr="00A214B0">
        <w:rPr>
          <w:rFonts w:cs="Times New Roman" w:hint="eastAsia"/>
          <w:color w:val="000000" w:themeColor="text1"/>
          <w:sz w:val="24"/>
          <w:szCs w:val="24"/>
        </w:rPr>
        <w:t>海企仓储</w:t>
      </w:r>
      <w:r w:rsidRPr="00A214B0">
        <w:rPr>
          <w:rFonts w:cs="Times New Roman" w:hint="eastAsia"/>
          <w:color w:val="000000" w:themeColor="text1"/>
          <w:sz w:val="24"/>
        </w:rPr>
        <w:t>申报的评估范围内</w:t>
      </w:r>
      <w:r w:rsidRPr="00A214B0">
        <w:rPr>
          <w:rFonts w:cs="Times New Roman" w:hint="eastAsia"/>
          <w:color w:val="000000" w:themeColor="text1"/>
          <w:sz w:val="24"/>
          <w:szCs w:val="24"/>
        </w:rPr>
        <w:t>其他应收款中</w:t>
      </w:r>
      <w:r w:rsidRPr="00A214B0">
        <w:rPr>
          <w:rFonts w:ascii="Times New Roman" w:hAnsi="Times New Roman" w:cs="Times New Roman"/>
          <w:color w:val="000000" w:themeColor="text1"/>
          <w:sz w:val="24"/>
        </w:rPr>
        <w:t>应收江苏凯澄起重机有限公司、浙江力高泵业科技有限公司的吊机安装费及污水设备款共计</w:t>
      </w:r>
      <w:r w:rsidRPr="00A214B0">
        <w:rPr>
          <w:rFonts w:ascii="Times New Roman" w:hAnsi="Times New Roman" w:cs="Times New Roman"/>
          <w:color w:val="000000" w:themeColor="text1"/>
          <w:sz w:val="24"/>
        </w:rPr>
        <w:t>22,260.00</w:t>
      </w:r>
      <w:r w:rsidRPr="00A214B0">
        <w:rPr>
          <w:rFonts w:ascii="Times New Roman" w:hAnsi="Times New Roman" w:cs="Times New Roman"/>
          <w:color w:val="000000" w:themeColor="text1"/>
          <w:sz w:val="24"/>
        </w:rPr>
        <w:t>元，系为未收到发票而挂账款项，相对应的权益已收回，因此本次评估为零。</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sectPr w:rsidR="00D56508" w:rsidRPr="00A214B0">
          <w:footerReference w:type="default" r:id="rId16"/>
          <w:pgSz w:w="11906" w:h="16838"/>
          <w:pgMar w:top="1440" w:right="1276" w:bottom="1440" w:left="1797" w:header="567" w:footer="907" w:gutter="0"/>
          <w:cols w:space="720"/>
          <w:docGrid w:type="lines" w:linePitch="500"/>
        </w:sectPr>
      </w:pPr>
      <w:bookmarkStart w:id="35" w:name="_Toc24913"/>
      <w:bookmarkStart w:id="36" w:name="_Toc503865031"/>
      <w:r w:rsidRPr="00A214B0">
        <w:rPr>
          <w:rFonts w:ascii="Times New Roman" w:hAnsi="Times New Roman" w:cs="Times New Roman" w:hint="eastAsia"/>
          <w:color w:val="000000" w:themeColor="text1"/>
          <w:sz w:val="24"/>
          <w:szCs w:val="24"/>
        </w:rPr>
        <w:t>除上述事项，</w:t>
      </w:r>
      <w:r w:rsidRPr="00A214B0">
        <w:rPr>
          <w:rFonts w:ascii="Times New Roman" w:hAnsi="Times New Roman" w:cs="Times New Roman"/>
          <w:color w:val="000000" w:themeColor="text1"/>
          <w:sz w:val="24"/>
          <w:szCs w:val="24"/>
        </w:rPr>
        <w:t>海企</w:t>
      </w:r>
      <w:r w:rsidRPr="00A214B0">
        <w:rPr>
          <w:rFonts w:ascii="Times New Roman" w:hAnsi="Times New Roman" w:cs="Times New Roman" w:hint="eastAsia"/>
          <w:color w:val="000000" w:themeColor="text1"/>
          <w:sz w:val="24"/>
          <w:szCs w:val="24"/>
        </w:rPr>
        <w:t>仓储</w:t>
      </w:r>
      <w:r w:rsidRPr="00A214B0">
        <w:rPr>
          <w:rFonts w:ascii="Times New Roman" w:hAnsi="Times New Roman" w:cs="Times New Roman"/>
          <w:color w:val="000000" w:themeColor="text1"/>
          <w:sz w:val="24"/>
          <w:szCs w:val="24"/>
        </w:rPr>
        <w:t>经审计的账面金额与清查结果一致，未发现</w:t>
      </w:r>
      <w:r w:rsidRPr="00A214B0">
        <w:rPr>
          <w:rFonts w:ascii="Times New Roman" w:hAnsi="Times New Roman" w:cs="Times New Roman" w:hint="eastAsia"/>
          <w:color w:val="000000" w:themeColor="text1"/>
          <w:sz w:val="24"/>
          <w:szCs w:val="24"/>
        </w:rPr>
        <w:t>其它</w:t>
      </w:r>
      <w:r w:rsidRPr="00A214B0">
        <w:rPr>
          <w:rFonts w:ascii="Times New Roman" w:hAnsi="Times New Roman" w:cs="Times New Roman"/>
          <w:color w:val="000000" w:themeColor="text1"/>
          <w:sz w:val="24"/>
          <w:szCs w:val="24"/>
        </w:rPr>
        <w:t>资产损失的情况</w:t>
      </w:r>
      <w:r w:rsidRPr="00A214B0">
        <w:rPr>
          <w:rFonts w:ascii="Times New Roman" w:hAnsi="Times New Roman" w:cs="Times New Roman"/>
          <w:color w:val="000000" w:themeColor="text1"/>
          <w:sz w:val="24"/>
        </w:rPr>
        <w:t>。</w:t>
      </w:r>
    </w:p>
    <w:p w:rsidR="00D56508" w:rsidRPr="00A214B0" w:rsidRDefault="00F1265B">
      <w:pPr>
        <w:pStyle w:val="1"/>
        <w:adjustRightInd/>
        <w:spacing w:before="100" w:beforeAutospacing="1" w:after="100" w:afterAutospacing="1" w:line="360" w:lineRule="auto"/>
        <w:contextualSpacing/>
        <w:jc w:val="center"/>
        <w:rPr>
          <w:color w:val="000000" w:themeColor="text1"/>
          <w:sz w:val="36"/>
        </w:rPr>
      </w:pPr>
      <w:r w:rsidRPr="00A214B0">
        <w:rPr>
          <w:color w:val="000000" w:themeColor="text1"/>
          <w:sz w:val="36"/>
        </w:rPr>
        <w:t>第四部分</w:t>
      </w:r>
      <w:r w:rsidRPr="00A214B0">
        <w:rPr>
          <w:color w:val="000000" w:themeColor="text1"/>
          <w:sz w:val="36"/>
        </w:rPr>
        <w:t xml:space="preserve"> </w:t>
      </w:r>
      <w:r w:rsidRPr="00A214B0">
        <w:rPr>
          <w:color w:val="000000" w:themeColor="text1"/>
          <w:sz w:val="36"/>
        </w:rPr>
        <w:t>资产基础法评估技术说明</w:t>
      </w:r>
      <w:bookmarkEnd w:id="35"/>
      <w:bookmarkEnd w:id="36"/>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由被评估单位填报《资产</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负债</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评估清查明细表》，评估人员逐项查对核实，在被评估单位配合下逐一查勘了各类资产等，在清查调整的基础上按清查核实后的资产负债表内容，分项进行评估计算，加和汇总得到评估后的资产、负债，以全部资产减去全部负债后得出评估基准日股东全部权益的市场价值。</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37" w:name="_Toc21695"/>
      <w:bookmarkStart w:id="38" w:name="_Toc503865032"/>
      <w:r w:rsidRPr="00A214B0">
        <w:rPr>
          <w:rFonts w:ascii="Times New Roman" w:eastAsia="黑体" w:hAnsi="Times New Roman" w:cs="Times New Roman"/>
          <w:color w:val="000000" w:themeColor="text1"/>
          <w:sz w:val="28"/>
          <w:szCs w:val="28"/>
        </w:rPr>
        <w:t>一、流动资产评估说明</w:t>
      </w:r>
      <w:bookmarkEnd w:id="37"/>
      <w:bookmarkEnd w:id="38"/>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流动资产包括货币资金、应收票据、应收账款、预付账款、其他应收款、存货、其他流动资产等。</w:t>
      </w:r>
    </w:p>
    <w:p w:rsidR="00D56508" w:rsidRPr="00A214B0" w:rsidRDefault="00F1265B">
      <w:pPr>
        <w:pStyle w:val="3"/>
        <w:ind w:firstLine="480"/>
        <w:rPr>
          <w:color w:val="000000" w:themeColor="text1"/>
        </w:rPr>
      </w:pPr>
      <w:bookmarkStart w:id="39" w:name="_Toc503865033"/>
      <w:bookmarkStart w:id="40" w:name="_Toc16976"/>
      <w:bookmarkStart w:id="41" w:name="_Toc16333"/>
      <w:r w:rsidRPr="00A214B0">
        <w:rPr>
          <w:color w:val="000000" w:themeColor="text1"/>
        </w:rPr>
        <w:t>（一）货币资金</w:t>
      </w:r>
      <w:bookmarkEnd w:id="39"/>
      <w:bookmarkEnd w:id="40"/>
      <w:bookmarkEnd w:id="41"/>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货币资金包括现金、银行存款，账面值</w:t>
      </w:r>
      <w:r w:rsidRPr="00A214B0">
        <w:rPr>
          <w:rFonts w:ascii="Times New Roman" w:hAnsi="Times New Roman" w:cs="Times New Roman"/>
          <w:color w:val="000000" w:themeColor="text1"/>
          <w:sz w:val="24"/>
        </w:rPr>
        <w:t xml:space="preserve"> 12,905,365.56 </w:t>
      </w:r>
      <w:r w:rsidRPr="00A214B0">
        <w:rPr>
          <w:rFonts w:ascii="Times New Roman" w:hAnsi="Times New Roman" w:cs="Times New Roman"/>
          <w:color w:val="000000" w:themeColor="text1"/>
          <w:sz w:val="24"/>
        </w:rPr>
        <w:t>元。其中现金</w:t>
      </w:r>
      <w:r w:rsidRPr="00A214B0">
        <w:rPr>
          <w:rFonts w:ascii="Times New Roman" w:hAnsi="Times New Roman" w:cs="Times New Roman"/>
          <w:color w:val="000000" w:themeColor="text1"/>
          <w:sz w:val="24"/>
        </w:rPr>
        <w:t xml:space="preserve"> 18,690.55 </w:t>
      </w:r>
      <w:r w:rsidRPr="00A214B0">
        <w:rPr>
          <w:rFonts w:ascii="Times New Roman" w:hAnsi="Times New Roman" w:cs="Times New Roman"/>
          <w:color w:val="000000" w:themeColor="text1"/>
          <w:sz w:val="24"/>
        </w:rPr>
        <w:t>元、银行存款</w:t>
      </w:r>
      <w:r w:rsidRPr="00A214B0">
        <w:rPr>
          <w:rFonts w:ascii="Times New Roman" w:hAnsi="Times New Roman" w:cs="Times New Roman"/>
          <w:color w:val="000000" w:themeColor="text1"/>
          <w:sz w:val="24"/>
        </w:rPr>
        <w:t xml:space="preserve"> 12,886,675.01 </w:t>
      </w:r>
      <w:r w:rsidRPr="00A214B0">
        <w:rPr>
          <w:rFonts w:ascii="Times New Roman" w:hAnsi="Times New Roman" w:cs="Times New Roman"/>
          <w:color w:val="000000" w:themeColor="text1"/>
          <w:sz w:val="24"/>
        </w:rPr>
        <w:t>元。</w:t>
      </w:r>
    </w:p>
    <w:p w:rsidR="00D56508" w:rsidRPr="00A214B0" w:rsidRDefault="00F1265B">
      <w:pPr>
        <w:pStyle w:val="3"/>
        <w:ind w:firstLine="480"/>
        <w:rPr>
          <w:color w:val="000000" w:themeColor="text1"/>
        </w:rPr>
      </w:pPr>
      <w:bookmarkStart w:id="42" w:name="_Toc23996"/>
      <w:r w:rsidRPr="00A214B0">
        <w:rPr>
          <w:color w:val="000000" w:themeColor="text1"/>
        </w:rPr>
        <w:t xml:space="preserve">1. </w:t>
      </w:r>
      <w:r w:rsidRPr="00A214B0">
        <w:rPr>
          <w:color w:val="000000" w:themeColor="text1"/>
        </w:rPr>
        <w:t>现金</w:t>
      </w:r>
      <w:bookmarkEnd w:id="42"/>
      <w:r w:rsidRPr="00A214B0">
        <w:rPr>
          <w:color w:val="000000" w:themeColor="text1"/>
        </w:rPr>
        <w:t xml:space="preserve"> </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江苏海企化工仓储股份有限公司现金存放于公司的财务室，由出纳人员专人保管，出纳于每日下午结账，进行盘点，核对与当日余额是否相符，并做出当日现金盘点表。评估人员对库存现金进行了实地盘点，参与盘点人员包括：公司会计、出纳、评估人员以及其他相关人员。评估人员根据评估基准日与盘点日之间的现金出库金额、现金入库金额和盘点日余额倒推出评估基准日现金余额，推算公式为：</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评估基准日现金余额</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实地盘点日现金余额</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评估基准日与实地盘点日之间的现金出库金额－评估基准日与实地盘点日之间的现金入库金额</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推算后余额与评估基准日余额核对相符，对于现金以核实后的账面值确定评估值；</w:t>
      </w:r>
      <w:r w:rsidRPr="00A214B0">
        <w:rPr>
          <w:rFonts w:ascii="Times New Roman" w:hAnsi="Times New Roman" w:cs="Times New Roman"/>
          <w:color w:val="000000" w:themeColor="text1"/>
          <w:sz w:val="24"/>
        </w:rPr>
        <w:t xml:space="preserve"> </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现金评估值为</w:t>
      </w:r>
      <w:r w:rsidRPr="00A214B0">
        <w:rPr>
          <w:rFonts w:ascii="Times New Roman" w:hAnsi="Times New Roman" w:cs="Times New Roman"/>
          <w:color w:val="000000" w:themeColor="text1"/>
          <w:sz w:val="24"/>
        </w:rPr>
        <w:t xml:space="preserve"> 18,690.55 </w:t>
      </w:r>
      <w:r w:rsidRPr="00A214B0">
        <w:rPr>
          <w:rFonts w:ascii="Times New Roman" w:hAnsi="Times New Roman" w:cs="Times New Roman"/>
          <w:color w:val="000000" w:themeColor="text1"/>
          <w:sz w:val="24"/>
        </w:rPr>
        <w:t>元。</w:t>
      </w:r>
    </w:p>
    <w:p w:rsidR="00D56508" w:rsidRPr="00A214B0" w:rsidRDefault="00F1265B">
      <w:pPr>
        <w:pStyle w:val="3"/>
        <w:ind w:firstLine="480"/>
        <w:rPr>
          <w:color w:val="000000" w:themeColor="text1"/>
        </w:rPr>
      </w:pPr>
      <w:bookmarkStart w:id="43" w:name="_Toc27663"/>
      <w:r w:rsidRPr="00A214B0">
        <w:rPr>
          <w:color w:val="000000" w:themeColor="text1"/>
        </w:rPr>
        <w:t>2</w:t>
      </w:r>
      <w:r w:rsidRPr="00A214B0">
        <w:rPr>
          <w:color w:val="000000" w:themeColor="text1"/>
        </w:rPr>
        <w:t>、银行存款</w:t>
      </w:r>
      <w:bookmarkEnd w:id="43"/>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江苏海企化工仓储股份有限公司银行存款账面值为</w:t>
      </w:r>
      <w:r w:rsidRPr="00A214B0">
        <w:rPr>
          <w:rFonts w:ascii="Times New Roman" w:hAnsi="Times New Roman" w:cs="Times New Roman"/>
          <w:color w:val="000000" w:themeColor="text1"/>
          <w:sz w:val="24"/>
        </w:rPr>
        <w:t xml:space="preserve"> 12,886,675.01 </w:t>
      </w:r>
      <w:r w:rsidRPr="00A214B0">
        <w:rPr>
          <w:rFonts w:ascii="Times New Roman" w:hAnsi="Times New Roman" w:cs="Times New Roman"/>
          <w:color w:val="000000" w:themeColor="text1"/>
          <w:sz w:val="24"/>
        </w:rPr>
        <w:t>元。开户行为中国交通银行高港支行、中国工商银行泰州分行营业部、中国工商银行泰州分行营业部、中国农业银行泰州永安支行、江苏泰州农村商业银行永安洲支行、中国工商银行泰州高港支行、江苏银行高港支行、光大银行南京分行、中信银行南京分行下关支行、兴业银行泰州分行营业部、招商银行泰州分行高港支行等。评估人员根据企业提供的每一个账户的银行对账单、余额调节表及银行存款申报表，首先与银行对账单的评估基准日余额相核对，如有差额，再利用余额调节表上的未达账项，查明差额原因，并逐笔核对其是否影响净资产。经逐项核实，各银行账户账面余额与银行对账单相符。评估人员还对所有的银行账户进行了函证，回函相符。人民币银行存款以账面值确定评估值。</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银行存款评估值为</w:t>
      </w:r>
      <w:r w:rsidRPr="00A214B0">
        <w:rPr>
          <w:rFonts w:ascii="Times New Roman" w:hAnsi="Times New Roman" w:cs="Times New Roman"/>
          <w:color w:val="000000" w:themeColor="text1"/>
          <w:sz w:val="24"/>
        </w:rPr>
        <w:t xml:space="preserve"> 12,886,675.01 </w:t>
      </w:r>
      <w:r w:rsidRPr="00A214B0">
        <w:rPr>
          <w:rFonts w:ascii="Times New Roman" w:hAnsi="Times New Roman" w:cs="Times New Roman"/>
          <w:color w:val="000000" w:themeColor="text1"/>
          <w:sz w:val="24"/>
        </w:rPr>
        <w:t>元。</w:t>
      </w:r>
    </w:p>
    <w:p w:rsidR="00D56508" w:rsidRPr="00A214B0" w:rsidRDefault="00F1265B">
      <w:pPr>
        <w:pStyle w:val="20"/>
        <w:numPr>
          <w:ilvl w:val="0"/>
          <w:numId w:val="8"/>
        </w:numPr>
        <w:ind w:firstLine="480"/>
        <w:rPr>
          <w:rFonts w:ascii="Times New Roman" w:hAnsi="Times New Roman"/>
          <w:color w:val="000000" w:themeColor="text1"/>
        </w:rPr>
      </w:pPr>
      <w:bookmarkStart w:id="44" w:name="_Toc14472"/>
      <w:bookmarkStart w:id="45" w:name="_Toc503865035"/>
      <w:bookmarkStart w:id="46" w:name="_Toc4089"/>
      <w:r w:rsidRPr="00A214B0">
        <w:rPr>
          <w:rFonts w:ascii="Times New Roman" w:hAnsi="Times New Roman"/>
          <w:color w:val="000000" w:themeColor="text1"/>
        </w:rPr>
        <w:t>应收票据</w:t>
      </w:r>
      <w:bookmarkEnd w:id="44"/>
    </w:p>
    <w:p w:rsidR="00D56508" w:rsidRPr="00A214B0" w:rsidRDefault="00F1265B">
      <w:pPr>
        <w:keepNext/>
        <w:keepLine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至评估基准日应收票据账面价值为</w:t>
      </w:r>
      <w:r w:rsidRPr="00A214B0">
        <w:rPr>
          <w:rFonts w:ascii="Times New Roman" w:hAnsi="Times New Roman" w:cs="Times New Roman"/>
          <w:color w:val="000000" w:themeColor="text1"/>
          <w:sz w:val="24"/>
        </w:rPr>
        <w:t xml:space="preserve"> 5,630,400.34 </w:t>
      </w:r>
      <w:r w:rsidRPr="00A214B0">
        <w:rPr>
          <w:rFonts w:ascii="Times New Roman" w:hAnsi="Times New Roman" w:cs="Times New Roman"/>
          <w:color w:val="000000" w:themeColor="text1"/>
          <w:sz w:val="24"/>
        </w:rPr>
        <w:t>元。主要为因提供仓储服务等而收到的承兑汇票。评估人员查阅了公司的应收票据备查簿，逐笔核实了应收票据的种类、号数和出票日、票面金额、交易合同号和付款人、承兑人、背书人的姓名或单位名称、到期日等资料确认其真实性，以核实无误后的账面价值作为评估值。</w:t>
      </w:r>
    </w:p>
    <w:p w:rsidR="00D56508" w:rsidRPr="00A214B0" w:rsidRDefault="00F1265B">
      <w:pPr>
        <w:keepNext/>
        <w:keepLines/>
        <w:adjustRightInd w:val="0"/>
        <w:snapToGrid w:val="0"/>
        <w:spacing w:line="360" w:lineRule="auto"/>
        <w:ind w:firstLineChars="200" w:firstLine="480"/>
        <w:rPr>
          <w:rFonts w:ascii="Times New Roman" w:hAnsi="Times New Roman" w:cs="Times New Roman"/>
          <w:color w:val="000000" w:themeColor="text1"/>
        </w:rPr>
      </w:pPr>
      <w:r w:rsidRPr="00A214B0">
        <w:rPr>
          <w:rFonts w:ascii="Times New Roman" w:hAnsi="Times New Roman" w:cs="Times New Roman"/>
          <w:color w:val="000000" w:themeColor="text1"/>
          <w:sz w:val="24"/>
        </w:rPr>
        <w:t>经评估，应收票据的评估值为</w:t>
      </w:r>
      <w:r w:rsidRPr="00A214B0">
        <w:rPr>
          <w:rFonts w:ascii="Times New Roman" w:hAnsi="Times New Roman" w:cs="Times New Roman"/>
          <w:color w:val="000000" w:themeColor="text1"/>
          <w:sz w:val="24"/>
        </w:rPr>
        <w:t xml:space="preserve"> 5,630,400.34 </w:t>
      </w:r>
      <w:r w:rsidRPr="00A214B0">
        <w:rPr>
          <w:rFonts w:ascii="Times New Roman" w:hAnsi="Times New Roman" w:cs="Times New Roman"/>
          <w:color w:val="000000" w:themeColor="text1"/>
          <w:sz w:val="24"/>
        </w:rPr>
        <w:t>元。</w:t>
      </w:r>
    </w:p>
    <w:p w:rsidR="00D56508" w:rsidRPr="00A214B0" w:rsidRDefault="00F1265B">
      <w:pPr>
        <w:pStyle w:val="20"/>
        <w:numPr>
          <w:ilvl w:val="0"/>
          <w:numId w:val="8"/>
        </w:numPr>
        <w:ind w:firstLine="480"/>
        <w:rPr>
          <w:rFonts w:ascii="Times New Roman" w:hAnsi="Times New Roman"/>
          <w:color w:val="000000" w:themeColor="text1"/>
        </w:rPr>
      </w:pPr>
      <w:bookmarkStart w:id="47" w:name="_Toc24886"/>
      <w:r w:rsidRPr="00A214B0">
        <w:rPr>
          <w:rFonts w:ascii="Times New Roman" w:hAnsi="Times New Roman"/>
          <w:color w:val="000000" w:themeColor="text1"/>
        </w:rPr>
        <w:t>应收款项</w:t>
      </w:r>
      <w:bookmarkEnd w:id="45"/>
      <w:bookmarkEnd w:id="46"/>
      <w:bookmarkEnd w:id="47"/>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bookmarkStart w:id="48" w:name="_Toc8081"/>
      <w:r w:rsidRPr="00A214B0">
        <w:rPr>
          <w:rFonts w:ascii="Times New Roman" w:hAnsi="Times New Roman" w:cs="Times New Roman"/>
          <w:color w:val="000000" w:themeColor="text1"/>
          <w:sz w:val="24"/>
        </w:rPr>
        <w:t>至评估基准日应收账款账面余额为</w:t>
      </w:r>
      <w:r w:rsidRPr="00A214B0">
        <w:rPr>
          <w:rFonts w:ascii="Times New Roman" w:hAnsi="Times New Roman" w:cs="Times New Roman"/>
          <w:color w:val="000000" w:themeColor="text1"/>
          <w:sz w:val="24"/>
        </w:rPr>
        <w:t xml:space="preserve"> 12,405,356.47 </w:t>
      </w:r>
      <w:r w:rsidRPr="00A214B0">
        <w:rPr>
          <w:rFonts w:ascii="Times New Roman" w:hAnsi="Times New Roman" w:cs="Times New Roman"/>
          <w:color w:val="000000" w:themeColor="text1"/>
          <w:sz w:val="24"/>
        </w:rPr>
        <w:t>元，坏账准备为</w:t>
      </w:r>
      <w:r w:rsidRPr="00A214B0">
        <w:rPr>
          <w:rFonts w:ascii="Times New Roman" w:hAnsi="Times New Roman" w:cs="Times New Roman"/>
          <w:color w:val="000000" w:themeColor="text1"/>
          <w:sz w:val="24"/>
        </w:rPr>
        <w:t xml:space="preserve"> 148,658.47 </w:t>
      </w:r>
      <w:r w:rsidRPr="00A214B0">
        <w:rPr>
          <w:rFonts w:ascii="Times New Roman" w:hAnsi="Times New Roman" w:cs="Times New Roman"/>
          <w:color w:val="000000" w:themeColor="text1"/>
          <w:sz w:val="24"/>
        </w:rPr>
        <w:t>元，账面净值为</w:t>
      </w:r>
      <w:r w:rsidRPr="00A214B0">
        <w:rPr>
          <w:rFonts w:ascii="Times New Roman" w:hAnsi="Times New Roman" w:cs="Times New Roman"/>
          <w:color w:val="000000" w:themeColor="text1"/>
          <w:sz w:val="24"/>
        </w:rPr>
        <w:t xml:space="preserve"> 12,256,698.00 </w:t>
      </w:r>
      <w:r w:rsidRPr="00A214B0">
        <w:rPr>
          <w:rFonts w:ascii="Times New Roman" w:hAnsi="Times New Roman" w:cs="Times New Roman"/>
          <w:color w:val="000000" w:themeColor="text1"/>
          <w:sz w:val="24"/>
        </w:rPr>
        <w:t>元。评估人员在对应收款项核实无误的基础上，借助于历史资料和现在调查了解的情况，具体分析数额、欠款时间和原因、款项回收情况、欠款人资金、信用、经营管理现状等。根据各单位的具体情况，分别采用个别认定法和账龄分析法，对评估风险损失进行估计。</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对关联方往来等有充分理由全部能收回的，评估风险损失为零。</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对有确凿证据表明款项不能收回或账龄超长的，评估风险损失为</w:t>
      </w:r>
      <w:r w:rsidRPr="00A214B0">
        <w:rPr>
          <w:rFonts w:ascii="Times New Roman" w:hAnsi="Times New Roman" w:cs="Times New Roman"/>
          <w:color w:val="000000" w:themeColor="text1"/>
          <w:sz w:val="24"/>
        </w:rPr>
        <w:t>100%</w:t>
      </w:r>
      <w:r w:rsidRPr="00A214B0">
        <w:rPr>
          <w:rFonts w:ascii="Times New Roman" w:hAnsi="Times New Roman" w:cs="Times New Roman"/>
          <w:color w:val="000000" w:themeColor="text1"/>
          <w:sz w:val="24"/>
        </w:rPr>
        <w:t>。费用性质的应收款，评估为零。</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对很可能收不回部分款项的，且难以确定收不回账款数额的，按财会上计算坏账准备的方法，根据账龄和历史回款分析估计出评估风险损失。根据评估人员对债务单位的分析了解、账龄分析、并结合专业判断等综合确定，账龄</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个月以内</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含</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个月</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为</w:t>
      </w:r>
      <w:r w:rsidRPr="00A214B0">
        <w:rPr>
          <w:rFonts w:ascii="Times New Roman" w:hAnsi="Times New Roman" w:cs="Times New Roman"/>
          <w:color w:val="000000" w:themeColor="text1"/>
          <w:sz w:val="24"/>
        </w:rPr>
        <w:t>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个月</w:t>
      </w:r>
      <w:r w:rsidRPr="00A214B0">
        <w:rPr>
          <w:rFonts w:ascii="Times New Roman" w:hAnsi="Times New Roman" w:cs="Times New Roman"/>
          <w:color w:val="000000" w:themeColor="text1"/>
          <w:sz w:val="24"/>
        </w:rPr>
        <w:t>~1</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含</w:t>
      </w:r>
      <w:r w:rsidRPr="00A214B0">
        <w:rPr>
          <w:rFonts w:ascii="Times New Roman" w:hAnsi="Times New Roman" w:cs="Times New Roman"/>
          <w:color w:val="000000" w:themeColor="text1"/>
          <w:sz w:val="24"/>
        </w:rPr>
        <w:t>1</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为</w:t>
      </w:r>
      <w:r w:rsidRPr="00A214B0">
        <w:rPr>
          <w:rFonts w:ascii="Times New Roman" w:hAnsi="Times New Roman" w:cs="Times New Roman"/>
          <w:color w:val="000000" w:themeColor="text1"/>
          <w:sz w:val="24"/>
        </w:rPr>
        <w:t>1%</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1~2</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含</w:t>
      </w:r>
      <w:r w:rsidRPr="00A214B0">
        <w:rPr>
          <w:rFonts w:ascii="Times New Roman" w:hAnsi="Times New Roman" w:cs="Times New Roman"/>
          <w:color w:val="000000" w:themeColor="text1"/>
          <w:sz w:val="24"/>
        </w:rPr>
        <w:t>2</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为</w:t>
      </w:r>
      <w:r w:rsidRPr="00A214B0">
        <w:rPr>
          <w:rFonts w:ascii="Times New Roman" w:hAnsi="Times New Roman" w:cs="Times New Roman"/>
          <w:color w:val="000000" w:themeColor="text1"/>
          <w:sz w:val="24"/>
        </w:rPr>
        <w:t>10%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2~3</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含</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为</w:t>
      </w:r>
      <w:r w:rsidRPr="00A214B0">
        <w:rPr>
          <w:rFonts w:ascii="Times New Roman" w:hAnsi="Times New Roman" w:cs="Times New Roman"/>
          <w:color w:val="000000" w:themeColor="text1"/>
          <w:sz w:val="24"/>
        </w:rPr>
        <w:t>20%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3~5</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含</w:t>
      </w:r>
      <w:r w:rsidRPr="00A214B0">
        <w:rPr>
          <w:rFonts w:ascii="Times New Roman" w:hAnsi="Times New Roman" w:cs="Times New Roman"/>
          <w:color w:val="000000" w:themeColor="text1"/>
          <w:sz w:val="24"/>
        </w:rPr>
        <w:t>5</w:t>
      </w:r>
      <w:r w:rsidRPr="00A214B0">
        <w:rPr>
          <w:rFonts w:ascii="Times New Roman" w:hAnsi="Times New Roman" w:cs="Times New Roman"/>
          <w:color w:val="000000" w:themeColor="text1"/>
          <w:sz w:val="24"/>
        </w:rPr>
        <w:t>年</w:t>
      </w:r>
      <w:r w:rsidRPr="00A214B0">
        <w:rPr>
          <w:rFonts w:ascii="Times New Roman" w:hAnsi="Times New Roman" w:cs="Times New Roman"/>
          <w:color w:val="000000" w:themeColor="text1"/>
          <w:sz w:val="24"/>
        </w:rPr>
        <w:t xml:space="preserve">) </w:t>
      </w:r>
      <w:r w:rsidRPr="00A214B0">
        <w:rPr>
          <w:rFonts w:ascii="Times New Roman" w:hAnsi="Times New Roman" w:cs="Times New Roman"/>
          <w:color w:val="000000" w:themeColor="text1"/>
          <w:sz w:val="24"/>
        </w:rPr>
        <w:t>为</w:t>
      </w:r>
      <w:r w:rsidRPr="00A214B0">
        <w:rPr>
          <w:rFonts w:ascii="Times New Roman" w:hAnsi="Times New Roman" w:cs="Times New Roman"/>
          <w:color w:val="000000" w:themeColor="text1"/>
          <w:sz w:val="24"/>
        </w:rPr>
        <w:t>50%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5</w:t>
      </w:r>
      <w:r w:rsidRPr="00A214B0">
        <w:rPr>
          <w:rFonts w:ascii="Times New Roman" w:hAnsi="Times New Roman" w:cs="Times New Roman"/>
          <w:color w:val="000000" w:themeColor="text1"/>
          <w:sz w:val="24"/>
        </w:rPr>
        <w:t>年以上为</w:t>
      </w:r>
      <w:r w:rsidRPr="00A214B0">
        <w:rPr>
          <w:rFonts w:ascii="Times New Roman" w:hAnsi="Times New Roman" w:cs="Times New Roman"/>
          <w:color w:val="000000" w:themeColor="text1"/>
          <w:sz w:val="24"/>
        </w:rPr>
        <w:t>100%</w:t>
      </w:r>
      <w:r w:rsidRPr="00A214B0">
        <w:rPr>
          <w:rFonts w:ascii="Times New Roman" w:hAnsi="Times New Roman" w:cs="Times New Roman"/>
          <w:color w:val="000000" w:themeColor="text1"/>
          <w:sz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以核实后账面值减去评估风险损失作为评估值。坏账准备评估为零。</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经评估，应收账款的评估值为</w:t>
      </w:r>
      <w:r w:rsidRPr="00A214B0">
        <w:rPr>
          <w:rFonts w:ascii="Times New Roman" w:hAnsi="Times New Roman" w:cs="Times New Roman"/>
          <w:color w:val="000000" w:themeColor="text1"/>
          <w:sz w:val="24"/>
        </w:rPr>
        <w:t xml:space="preserve"> 12,256,698.00 </w:t>
      </w:r>
      <w:r w:rsidRPr="00A214B0">
        <w:rPr>
          <w:rFonts w:ascii="Times New Roman" w:hAnsi="Times New Roman" w:cs="Times New Roman"/>
          <w:color w:val="000000" w:themeColor="text1"/>
          <w:sz w:val="24"/>
        </w:rPr>
        <w:t>元。</w:t>
      </w:r>
    </w:p>
    <w:p w:rsidR="00D56508" w:rsidRPr="00A214B0" w:rsidRDefault="00F1265B">
      <w:pPr>
        <w:numPr>
          <w:ilvl w:val="255"/>
          <w:numId w:val="0"/>
        </w:numPr>
        <w:snapToGrid w:val="0"/>
        <w:spacing w:line="360" w:lineRule="auto"/>
        <w:ind w:firstLineChars="200" w:firstLine="480"/>
        <w:outlineLvl w:val="1"/>
        <w:rPr>
          <w:rFonts w:ascii="Times New Roman" w:hAnsi="Times New Roman" w:cs="Times New Roman"/>
          <w:color w:val="000000" w:themeColor="text1"/>
          <w:sz w:val="24"/>
        </w:rPr>
      </w:pPr>
      <w:r w:rsidRPr="00A214B0">
        <w:rPr>
          <w:rStyle w:val="2Char"/>
          <w:rFonts w:ascii="Times New Roman" w:hAnsi="Times New Roman"/>
          <w:color w:val="000000" w:themeColor="text1"/>
        </w:rPr>
        <w:t>（四）预付账款</w:t>
      </w:r>
      <w:bookmarkEnd w:id="48"/>
    </w:p>
    <w:p w:rsidR="00D56508" w:rsidRPr="00A214B0" w:rsidRDefault="00F1265B">
      <w:pPr>
        <w:numPr>
          <w:ilvl w:val="255"/>
          <w:numId w:val="0"/>
        </w:numPr>
        <w:snapToGrid w:val="0"/>
        <w:spacing w:line="360" w:lineRule="auto"/>
        <w:ind w:firstLineChars="200" w:firstLine="480"/>
        <w:rPr>
          <w:rFonts w:ascii="Times New Roman" w:hAnsi="Times New Roman" w:cs="Times New Roman"/>
          <w:color w:val="000000" w:themeColor="text1"/>
          <w:sz w:val="24"/>
        </w:rPr>
      </w:pPr>
      <w:bookmarkStart w:id="49" w:name="_Toc21311"/>
      <w:r w:rsidRPr="00A214B0">
        <w:rPr>
          <w:rStyle w:val="2Char"/>
          <w:rFonts w:ascii="Times New Roman" w:hAnsi="Times New Roman"/>
          <w:color w:val="000000" w:themeColor="text1"/>
        </w:rPr>
        <w:t>预付账款</w:t>
      </w:r>
      <w:bookmarkEnd w:id="49"/>
      <w:r w:rsidRPr="00A214B0">
        <w:rPr>
          <w:rFonts w:ascii="Times New Roman" w:hAnsi="Times New Roman" w:cs="Times New Roman"/>
          <w:color w:val="000000" w:themeColor="text1"/>
          <w:sz w:val="24"/>
        </w:rPr>
        <w:t>至评估基准日预付账款账面价值为</w:t>
      </w:r>
      <w:r w:rsidRPr="00A214B0">
        <w:rPr>
          <w:rFonts w:ascii="Times New Roman" w:hAnsi="Times New Roman" w:cs="Times New Roman"/>
          <w:color w:val="000000" w:themeColor="text1"/>
          <w:sz w:val="24"/>
        </w:rPr>
        <w:t xml:space="preserve"> 516,151.24 </w:t>
      </w:r>
      <w:r w:rsidRPr="00A214B0">
        <w:rPr>
          <w:rFonts w:ascii="Times New Roman" w:hAnsi="Times New Roman" w:cs="Times New Roman"/>
          <w:color w:val="000000" w:themeColor="text1"/>
          <w:sz w:val="24"/>
        </w:rPr>
        <w:t>元，评估人员核实了账簿记录、有关原始凭证、业务合同和发生时间、金额、款项性质等，确认交易事项真实、形成时间距基准日较近、付款金额核算无误、且未发现供货单位有破产、撤销或不能按合同按时提供货物或劳务等情况。评估人员在核实其价值构成的基础上，根据所能收回的相应货物形成资产的价值确定评估值，</w:t>
      </w:r>
      <w:r w:rsidR="003937C4" w:rsidRPr="00A214B0">
        <w:rPr>
          <w:rFonts w:ascii="Times New Roman" w:hAnsi="Times New Roman" w:cs="Times New Roman" w:hint="eastAsia"/>
          <w:color w:val="000000" w:themeColor="text1"/>
          <w:sz w:val="24"/>
        </w:rPr>
        <w:t>对于费用性的罚款，评估为</w:t>
      </w:r>
      <w:r w:rsidR="003937C4" w:rsidRPr="00A214B0">
        <w:rPr>
          <w:rFonts w:ascii="Times New Roman" w:hAnsi="Times New Roman" w:cs="Times New Roman" w:hint="eastAsia"/>
          <w:color w:val="000000" w:themeColor="text1"/>
          <w:sz w:val="24"/>
        </w:rPr>
        <w:t>0</w:t>
      </w:r>
      <w:r w:rsidR="003937C4" w:rsidRPr="00A214B0">
        <w:rPr>
          <w:rFonts w:ascii="Times New Roman" w:hAnsi="Times New Roman" w:cs="Times New Roman" w:hint="eastAsia"/>
          <w:color w:val="000000" w:themeColor="text1"/>
          <w:sz w:val="24"/>
        </w:rPr>
        <w:t>，预付账款</w:t>
      </w:r>
      <w:r w:rsidRPr="00A214B0">
        <w:rPr>
          <w:rFonts w:ascii="Times New Roman" w:hAnsi="Times New Roman" w:cs="Times New Roman"/>
          <w:color w:val="000000" w:themeColor="text1"/>
          <w:sz w:val="24"/>
        </w:rPr>
        <w:t>评估值为</w:t>
      </w:r>
      <w:r w:rsidR="003937C4" w:rsidRPr="00A214B0">
        <w:rPr>
          <w:rFonts w:ascii="Times New Roman" w:hAnsi="Times New Roman" w:cs="Times New Roman"/>
          <w:color w:val="000000" w:themeColor="text1"/>
          <w:sz w:val="24"/>
        </w:rPr>
        <w:t>511,151.24</w:t>
      </w:r>
      <w:r w:rsidRPr="00A214B0">
        <w:rPr>
          <w:rFonts w:ascii="Times New Roman" w:hAnsi="Times New Roman" w:cs="Times New Roman"/>
          <w:color w:val="000000" w:themeColor="text1"/>
          <w:sz w:val="24"/>
        </w:rPr>
        <w:t>元。</w:t>
      </w:r>
    </w:p>
    <w:p w:rsidR="00D56508" w:rsidRPr="00A214B0" w:rsidRDefault="00F1265B">
      <w:pPr>
        <w:adjustRightInd w:val="0"/>
        <w:snapToGrid w:val="0"/>
        <w:spacing w:line="360" w:lineRule="auto"/>
        <w:ind w:firstLineChars="200" w:firstLine="480"/>
        <w:outlineLvl w:val="1"/>
        <w:rPr>
          <w:rFonts w:ascii="Times New Roman" w:hAnsi="Times New Roman" w:cs="Times New Roman"/>
          <w:color w:val="000000" w:themeColor="text1"/>
          <w:sz w:val="24"/>
        </w:rPr>
      </w:pPr>
      <w:bookmarkStart w:id="50" w:name="_Toc25635"/>
      <w:r w:rsidRPr="00A214B0">
        <w:rPr>
          <w:rFonts w:ascii="Times New Roman" w:hAnsi="Times New Roman" w:cs="Times New Roman"/>
          <w:color w:val="000000" w:themeColor="text1"/>
          <w:sz w:val="24"/>
        </w:rPr>
        <w:t>（五）其他应收款</w:t>
      </w:r>
      <w:bookmarkEnd w:id="50"/>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至评估基准日其他应收款账面余额为</w:t>
      </w:r>
      <w:r w:rsidRPr="00A214B0">
        <w:rPr>
          <w:rFonts w:ascii="Times New Roman" w:hAnsi="Times New Roman" w:cs="Times New Roman"/>
          <w:color w:val="000000" w:themeColor="text1"/>
          <w:sz w:val="24"/>
        </w:rPr>
        <w:t xml:space="preserve">13,053,491.87 </w:t>
      </w:r>
      <w:r w:rsidRPr="00A214B0">
        <w:rPr>
          <w:rFonts w:ascii="Times New Roman" w:hAnsi="Times New Roman" w:cs="Times New Roman"/>
          <w:color w:val="000000" w:themeColor="text1"/>
          <w:sz w:val="24"/>
        </w:rPr>
        <w:t>元，坏账准备为</w:t>
      </w:r>
      <w:r w:rsidRPr="00A214B0">
        <w:rPr>
          <w:rFonts w:ascii="Times New Roman" w:hAnsi="Times New Roman" w:cs="Times New Roman"/>
          <w:color w:val="000000" w:themeColor="text1"/>
          <w:sz w:val="24"/>
        </w:rPr>
        <w:t xml:space="preserve">330,736.84 </w:t>
      </w:r>
      <w:r w:rsidRPr="00A214B0">
        <w:rPr>
          <w:rFonts w:ascii="Times New Roman" w:hAnsi="Times New Roman" w:cs="Times New Roman"/>
          <w:color w:val="000000" w:themeColor="text1"/>
          <w:sz w:val="24"/>
        </w:rPr>
        <w:t>元，账面价值为</w:t>
      </w:r>
      <w:r w:rsidRPr="00A214B0">
        <w:rPr>
          <w:rFonts w:ascii="Times New Roman" w:hAnsi="Times New Roman" w:cs="Times New Roman"/>
          <w:color w:val="000000" w:themeColor="text1"/>
          <w:sz w:val="24"/>
        </w:rPr>
        <w:t xml:space="preserve"> 12,722,755.03 </w:t>
      </w:r>
      <w:r w:rsidRPr="00A214B0">
        <w:rPr>
          <w:rFonts w:ascii="Times New Roman" w:hAnsi="Times New Roman" w:cs="Times New Roman"/>
          <w:color w:val="000000" w:themeColor="text1"/>
          <w:sz w:val="24"/>
        </w:rPr>
        <w:t>元。其他应收款评估方法与上述应收账款评估方法相同，本次评估中发现应收江苏凯澄起重机有限公司、浙江力高泵业科技有限公司的吊机安装费及污水设备款共计</w:t>
      </w:r>
      <w:r w:rsidRPr="00A214B0">
        <w:rPr>
          <w:rFonts w:ascii="Times New Roman" w:hAnsi="Times New Roman" w:cs="Times New Roman"/>
          <w:color w:val="000000" w:themeColor="text1"/>
          <w:sz w:val="24"/>
        </w:rPr>
        <w:t>22,260.00</w:t>
      </w:r>
      <w:r w:rsidRPr="00A214B0">
        <w:rPr>
          <w:rFonts w:ascii="Times New Roman" w:hAnsi="Times New Roman" w:cs="Times New Roman"/>
          <w:color w:val="000000" w:themeColor="text1"/>
          <w:sz w:val="24"/>
        </w:rPr>
        <w:t>元，系为未收到发票而挂账款项，相对应的权益已收回，因此本次评估为零。</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经评估，其他应收款的评估值为</w:t>
      </w:r>
      <w:r w:rsidRPr="00A214B0">
        <w:rPr>
          <w:rFonts w:ascii="Times New Roman" w:hAnsi="Times New Roman" w:cs="Times New Roman"/>
          <w:color w:val="000000" w:themeColor="text1"/>
          <w:sz w:val="24"/>
        </w:rPr>
        <w:t xml:space="preserve"> </w:t>
      </w:r>
      <w:r w:rsidR="00FB6AE2" w:rsidRPr="00A214B0">
        <w:rPr>
          <w:rFonts w:ascii="Times New Roman" w:hAnsi="Times New Roman" w:cs="Times New Roman"/>
          <w:color w:val="000000" w:themeColor="text1"/>
          <w:sz w:val="24"/>
        </w:rPr>
        <w:t>12,696,717.64</w:t>
      </w:r>
      <w:r w:rsidRPr="00A214B0">
        <w:rPr>
          <w:rFonts w:ascii="Times New Roman" w:hAnsi="Times New Roman" w:cs="Times New Roman"/>
          <w:color w:val="000000" w:themeColor="text1"/>
          <w:sz w:val="24"/>
        </w:rPr>
        <w:t>元。</w:t>
      </w:r>
      <w:r w:rsidRPr="00A214B0">
        <w:rPr>
          <w:rFonts w:ascii="Times New Roman" w:hAnsi="Times New Roman" w:cs="Times New Roman"/>
          <w:color w:val="000000" w:themeColor="text1"/>
          <w:sz w:val="24"/>
        </w:rPr>
        <w:t xml:space="preserve"> </w:t>
      </w:r>
    </w:p>
    <w:p w:rsidR="00D56508" w:rsidRPr="00A214B0" w:rsidRDefault="00F1265B">
      <w:pPr>
        <w:pStyle w:val="20"/>
        <w:ind w:firstLine="480"/>
        <w:rPr>
          <w:rFonts w:ascii="Times New Roman" w:hAnsi="Times New Roman"/>
          <w:color w:val="000000" w:themeColor="text1"/>
        </w:rPr>
      </w:pPr>
      <w:bookmarkStart w:id="51" w:name="_Toc26250"/>
      <w:bookmarkStart w:id="52" w:name="_Toc503865038"/>
      <w:bookmarkStart w:id="53" w:name="_Toc1308"/>
      <w:r w:rsidRPr="00A214B0">
        <w:rPr>
          <w:rFonts w:ascii="Times New Roman" w:hAnsi="Times New Roman"/>
          <w:color w:val="000000" w:themeColor="text1"/>
        </w:rPr>
        <w:t>（六）存货</w:t>
      </w:r>
      <w:bookmarkEnd w:id="51"/>
      <w:bookmarkEnd w:id="52"/>
      <w:bookmarkEnd w:id="53"/>
    </w:p>
    <w:p w:rsidR="00D56508" w:rsidRPr="00A214B0" w:rsidRDefault="00F1265B">
      <w:pPr>
        <w:pStyle w:val="a1"/>
        <w:adjustRightInd w:val="0"/>
        <w:snapToGrid w:val="0"/>
        <w:spacing w:line="360" w:lineRule="auto"/>
        <w:ind w:firstLineChars="200" w:firstLine="480"/>
        <w:textAlignment w:val="baseline"/>
        <w:rPr>
          <w:color w:val="000000" w:themeColor="text1"/>
        </w:rPr>
      </w:pPr>
      <w:r w:rsidRPr="00A214B0">
        <w:rPr>
          <w:color w:val="000000" w:themeColor="text1"/>
        </w:rPr>
        <w:t>至评估基准日，存货账面值</w:t>
      </w:r>
      <w:r w:rsidRPr="00A214B0">
        <w:rPr>
          <w:color w:val="000000" w:themeColor="text1"/>
        </w:rPr>
        <w:t xml:space="preserve"> 629,742.54 </w:t>
      </w:r>
      <w:r w:rsidRPr="00A214B0">
        <w:rPr>
          <w:color w:val="000000" w:themeColor="text1"/>
        </w:rPr>
        <w:t>元，主要为在库周转材料，系企业生产使用的码头港务用品与办公用品等低值易耗品，低值易耗品周转较快，购进频繁，其购进价格与市场实际价格接近，故本次评估按照核实后的账面值确认评估值。</w:t>
      </w:r>
    </w:p>
    <w:p w:rsidR="00D56508" w:rsidRPr="00A214B0" w:rsidRDefault="00F1265B">
      <w:pPr>
        <w:pStyle w:val="a1"/>
        <w:adjustRightInd w:val="0"/>
        <w:snapToGrid w:val="0"/>
        <w:spacing w:line="360" w:lineRule="auto"/>
        <w:ind w:firstLineChars="200" w:firstLine="480"/>
        <w:textAlignment w:val="baseline"/>
        <w:rPr>
          <w:color w:val="000000" w:themeColor="text1"/>
        </w:rPr>
      </w:pPr>
      <w:r w:rsidRPr="00A214B0">
        <w:rPr>
          <w:color w:val="000000" w:themeColor="text1"/>
        </w:rPr>
        <w:t>经评估，在库周转材料评估值为</w:t>
      </w:r>
      <w:r w:rsidRPr="00A214B0">
        <w:rPr>
          <w:color w:val="000000" w:themeColor="text1"/>
        </w:rPr>
        <w:t xml:space="preserve"> 629,742.54 </w:t>
      </w:r>
      <w:r w:rsidRPr="00A214B0">
        <w:rPr>
          <w:color w:val="000000" w:themeColor="text1"/>
        </w:rPr>
        <w:t>元。</w:t>
      </w:r>
    </w:p>
    <w:p w:rsidR="00D56508" w:rsidRPr="00A214B0" w:rsidRDefault="00F1265B">
      <w:pPr>
        <w:pStyle w:val="a1"/>
        <w:numPr>
          <w:ilvl w:val="0"/>
          <w:numId w:val="9"/>
        </w:numPr>
        <w:adjustRightInd w:val="0"/>
        <w:snapToGrid w:val="0"/>
        <w:spacing w:line="360" w:lineRule="auto"/>
        <w:ind w:firstLineChars="200" w:firstLine="480"/>
        <w:textAlignment w:val="baseline"/>
        <w:outlineLvl w:val="1"/>
        <w:rPr>
          <w:color w:val="000000" w:themeColor="text1"/>
        </w:rPr>
      </w:pPr>
      <w:bookmarkStart w:id="54" w:name="_Toc24825"/>
      <w:r w:rsidRPr="00A214B0">
        <w:rPr>
          <w:color w:val="000000" w:themeColor="text1"/>
        </w:rPr>
        <w:t>其他流动资产</w:t>
      </w:r>
      <w:bookmarkEnd w:id="54"/>
    </w:p>
    <w:p w:rsidR="00D56508" w:rsidRPr="00A214B0" w:rsidRDefault="00F1265B">
      <w:pPr>
        <w:pStyle w:val="a1"/>
        <w:adjustRightInd w:val="0"/>
        <w:snapToGrid w:val="0"/>
        <w:spacing w:line="360" w:lineRule="auto"/>
        <w:ind w:firstLineChars="200" w:firstLine="480"/>
        <w:textAlignment w:val="baseline"/>
        <w:rPr>
          <w:color w:val="000000" w:themeColor="text1"/>
          <w:lang w:val="en-US"/>
        </w:rPr>
      </w:pPr>
      <w:r w:rsidRPr="00A214B0">
        <w:rPr>
          <w:color w:val="000000" w:themeColor="text1"/>
          <w:lang w:val="en-US"/>
        </w:rPr>
        <w:t>其他流动资产账面值</w:t>
      </w:r>
      <w:r w:rsidRPr="00A214B0">
        <w:rPr>
          <w:color w:val="000000" w:themeColor="text1"/>
          <w:lang w:val="en-US"/>
        </w:rPr>
        <w:t xml:space="preserve"> 4,165,095.16 </w:t>
      </w:r>
      <w:r w:rsidRPr="00A214B0">
        <w:rPr>
          <w:color w:val="000000" w:themeColor="text1"/>
          <w:lang w:val="en-US"/>
        </w:rPr>
        <w:t>元，</w:t>
      </w:r>
      <w:r w:rsidRPr="00A214B0">
        <w:rPr>
          <w:rFonts w:hint="eastAsia"/>
          <w:color w:val="000000" w:themeColor="text1"/>
          <w:lang w:val="en-US"/>
        </w:rPr>
        <w:t>主</w:t>
      </w:r>
      <w:r w:rsidRPr="00A214B0">
        <w:rPr>
          <w:color w:val="000000" w:themeColor="text1"/>
          <w:lang w:val="en-US"/>
        </w:rPr>
        <w:t>要为理财产品和待抵扣进项税，评估人员查阅了相关合同、会计凭证，并对理财产品对应的银行账户进行了函证及核查银行回单，核实理财产品的收益率，对理财产品按核实后的账面值加上截止评估基准日尚未收到的理财收益确认评估值</w:t>
      </w:r>
      <w:r w:rsidRPr="00A214B0">
        <w:rPr>
          <w:color w:val="000000" w:themeColor="text1"/>
          <w:szCs w:val="22"/>
          <w:lang w:val="en-US"/>
        </w:rPr>
        <w:t>；</w:t>
      </w:r>
      <w:r w:rsidRPr="00A214B0">
        <w:rPr>
          <w:color w:val="000000" w:themeColor="text1"/>
          <w:lang w:val="en-US"/>
        </w:rPr>
        <w:t>另外对企业预缴税费进行了核实，并取得计算资料，与审计进行了沟通，以核实后账面值确定评估值。</w:t>
      </w:r>
    </w:p>
    <w:p w:rsidR="00D56508" w:rsidRPr="00A214B0" w:rsidRDefault="00F1265B">
      <w:pPr>
        <w:pStyle w:val="a1"/>
        <w:adjustRightInd w:val="0"/>
        <w:snapToGrid w:val="0"/>
        <w:spacing w:line="360" w:lineRule="auto"/>
        <w:ind w:firstLineChars="200" w:firstLine="480"/>
        <w:textAlignment w:val="baseline"/>
        <w:rPr>
          <w:color w:val="000000" w:themeColor="text1"/>
          <w:lang w:val="en-US"/>
        </w:rPr>
      </w:pPr>
      <w:r w:rsidRPr="00A214B0">
        <w:rPr>
          <w:color w:val="000000" w:themeColor="text1"/>
          <w:lang w:val="en-US"/>
        </w:rPr>
        <w:t>经评估，其他流动资产评估值为</w:t>
      </w:r>
      <w:r w:rsidRPr="00A214B0">
        <w:rPr>
          <w:color w:val="000000" w:themeColor="text1"/>
          <w:lang w:val="en-US"/>
        </w:rPr>
        <w:t xml:space="preserve"> 4,174,811.32 </w:t>
      </w:r>
      <w:r w:rsidRPr="00A214B0">
        <w:rPr>
          <w:color w:val="000000" w:themeColor="text1"/>
          <w:lang w:val="en-US"/>
        </w:rPr>
        <w:t>元。</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55" w:name="_Toc503865040"/>
      <w:bookmarkStart w:id="56" w:name="_Toc9208"/>
      <w:r w:rsidRPr="00A214B0">
        <w:rPr>
          <w:rFonts w:ascii="Times New Roman" w:eastAsia="黑体" w:hAnsi="Times New Roman" w:cs="Times New Roman"/>
          <w:color w:val="000000" w:themeColor="text1"/>
          <w:sz w:val="28"/>
          <w:szCs w:val="28"/>
        </w:rPr>
        <w:t>二、非流动资产评估说明</w:t>
      </w:r>
      <w:bookmarkEnd w:id="55"/>
      <w:bookmarkEnd w:id="56"/>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rPr>
      </w:pPr>
      <w:bookmarkStart w:id="57" w:name="_Toc14493"/>
      <w:bookmarkStart w:id="58" w:name="_Toc503865043"/>
      <w:r w:rsidRPr="00A214B0">
        <w:rPr>
          <w:rFonts w:ascii="Times New Roman" w:hAnsi="Times New Roman" w:cs="Times New Roman"/>
          <w:color w:val="000000" w:themeColor="text1"/>
          <w:sz w:val="24"/>
        </w:rPr>
        <w:t>至评估基准日，非流动资产包括长期股权投资、房屋建筑物、设备、在建工程、无形资产、长期待摊费用、递延所得税资产和其他非流动资产。</w:t>
      </w:r>
    </w:p>
    <w:p w:rsidR="00D56508" w:rsidRPr="00A214B0" w:rsidRDefault="00F1265B">
      <w:pPr>
        <w:pStyle w:val="20"/>
        <w:ind w:firstLine="480"/>
        <w:rPr>
          <w:rFonts w:ascii="Times New Roman" w:hAnsi="Times New Roman"/>
          <w:color w:val="000000" w:themeColor="text1"/>
        </w:rPr>
      </w:pPr>
      <w:bookmarkStart w:id="59" w:name="_Toc24164"/>
      <w:r w:rsidRPr="00A214B0">
        <w:rPr>
          <w:rFonts w:ascii="Times New Roman" w:hAnsi="Times New Roman"/>
          <w:color w:val="000000" w:themeColor="text1"/>
        </w:rPr>
        <w:t>（一）</w:t>
      </w:r>
      <w:bookmarkEnd w:id="57"/>
      <w:r w:rsidRPr="00A214B0">
        <w:rPr>
          <w:rFonts w:ascii="Times New Roman" w:hAnsi="Times New Roman"/>
          <w:color w:val="000000" w:themeColor="text1"/>
        </w:rPr>
        <w:t>长期股权投资</w:t>
      </w:r>
      <w:bookmarkEnd w:id="59"/>
    </w:p>
    <w:p w:rsidR="00D56508" w:rsidRPr="00A214B0" w:rsidRDefault="00F1265B">
      <w:pPr>
        <w:pStyle w:val="a1"/>
        <w:adjustRightInd w:val="0"/>
        <w:snapToGrid w:val="0"/>
        <w:spacing w:line="360" w:lineRule="auto"/>
        <w:ind w:firstLineChars="200" w:firstLine="480"/>
        <w:outlineLvl w:val="2"/>
        <w:rPr>
          <w:color w:val="000000" w:themeColor="text1"/>
          <w:szCs w:val="22"/>
          <w:lang w:val="en-US"/>
        </w:rPr>
      </w:pPr>
      <w:bookmarkStart w:id="60" w:name="_Toc20312"/>
      <w:r w:rsidRPr="00A214B0">
        <w:rPr>
          <w:color w:val="000000" w:themeColor="text1"/>
          <w:szCs w:val="22"/>
          <w:lang w:val="en-US"/>
        </w:rPr>
        <w:t>（</w:t>
      </w:r>
      <w:r w:rsidRPr="00A214B0">
        <w:rPr>
          <w:color w:val="000000" w:themeColor="text1"/>
          <w:szCs w:val="22"/>
          <w:lang w:val="en-US"/>
        </w:rPr>
        <w:t>1</w:t>
      </w:r>
      <w:r w:rsidRPr="00A214B0">
        <w:rPr>
          <w:color w:val="000000" w:themeColor="text1"/>
          <w:szCs w:val="22"/>
          <w:lang w:val="en-US"/>
        </w:rPr>
        <w:t>）长期股权投资概况</w:t>
      </w:r>
      <w:bookmarkEnd w:id="60"/>
    </w:p>
    <w:p w:rsidR="00D56508" w:rsidRPr="00A214B0" w:rsidRDefault="00F1265B">
      <w:pPr>
        <w:pStyle w:val="a1"/>
        <w:adjustRightInd w:val="0"/>
        <w:snapToGrid w:val="0"/>
        <w:spacing w:line="360" w:lineRule="auto"/>
        <w:ind w:firstLineChars="200" w:firstLine="480"/>
        <w:rPr>
          <w:color w:val="000000" w:themeColor="text1"/>
          <w:lang w:val="en-US"/>
        </w:rPr>
      </w:pPr>
      <w:r w:rsidRPr="00A214B0">
        <w:rPr>
          <w:color w:val="000000" w:themeColor="text1"/>
          <w:lang w:val="en-US"/>
        </w:rPr>
        <w:t>江苏海企化工仓储股份有限公司拥有长期投资</w:t>
      </w:r>
      <w:r w:rsidRPr="00A214B0">
        <w:rPr>
          <w:color w:val="000000" w:themeColor="text1"/>
          <w:lang w:val="en-US"/>
        </w:rPr>
        <w:t>2</w:t>
      </w:r>
      <w:r w:rsidRPr="00A214B0">
        <w:rPr>
          <w:color w:val="000000" w:themeColor="text1"/>
          <w:lang w:val="en-US"/>
        </w:rPr>
        <w:t>项，投资总额</w:t>
      </w:r>
      <w:r w:rsidRPr="00A214B0">
        <w:rPr>
          <w:color w:val="000000" w:themeColor="text1"/>
          <w:lang w:val="en-US"/>
        </w:rPr>
        <w:t xml:space="preserve"> 38,345,814.12 </w:t>
      </w:r>
      <w:r w:rsidRPr="00A214B0">
        <w:rPr>
          <w:color w:val="000000" w:themeColor="text1"/>
          <w:lang w:val="en-US"/>
        </w:rPr>
        <w:t>万元，各项长期投资基本情况如下：</w:t>
      </w:r>
    </w:p>
    <w:tbl>
      <w:tblPr>
        <w:tblW w:w="8863" w:type="dxa"/>
        <w:tblLayout w:type="fixed"/>
        <w:tblCellMar>
          <w:left w:w="0" w:type="dxa"/>
          <w:right w:w="0" w:type="dxa"/>
        </w:tblCellMar>
        <w:tblLook w:val="04A0" w:firstRow="1" w:lastRow="0" w:firstColumn="1" w:lastColumn="0" w:noHBand="0" w:noVBand="1"/>
      </w:tblPr>
      <w:tblGrid>
        <w:gridCol w:w="474"/>
        <w:gridCol w:w="2779"/>
        <w:gridCol w:w="833"/>
        <w:gridCol w:w="1165"/>
        <w:gridCol w:w="961"/>
        <w:gridCol w:w="1306"/>
        <w:gridCol w:w="1345"/>
      </w:tblGrid>
      <w:tr w:rsidR="00D56508" w:rsidRPr="00A214B0">
        <w:trPr>
          <w:trHeight w:val="315"/>
        </w:trPr>
        <w:tc>
          <w:tcPr>
            <w:tcW w:w="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序号</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被投资单位名称</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投资日期</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协议投资期限</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投资比例</w:t>
            </w:r>
            <w:r w:rsidRPr="00A214B0">
              <w:rPr>
                <w:rFonts w:ascii="Times New Roman" w:eastAsia="Arial Narrow" w:hAnsi="Times New Roman" w:cs="Times New Roman"/>
                <w:color w:val="000000" w:themeColor="text1"/>
                <w:kern w:val="0"/>
                <w:sz w:val="18"/>
                <w:szCs w:val="18"/>
                <w:lang w:bidi="ar"/>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原始投资成本</w:t>
            </w:r>
          </w:p>
        </w:tc>
        <w:tc>
          <w:tcPr>
            <w:tcW w:w="134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账面价值</w:t>
            </w:r>
          </w:p>
        </w:tc>
      </w:tr>
      <w:tr w:rsidR="00D56508" w:rsidRPr="00A214B0">
        <w:trPr>
          <w:trHeight w:val="315"/>
        </w:trPr>
        <w:tc>
          <w:tcPr>
            <w:tcW w:w="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1</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江苏海企港务有限公司</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2012/04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30</w:t>
            </w:r>
            <w:r w:rsidRPr="00A214B0">
              <w:rPr>
                <w:rFonts w:ascii="Times New Roman" w:eastAsia="宋体" w:hAnsi="Times New Roman" w:cs="Times New Roman"/>
                <w:color w:val="000000" w:themeColor="text1"/>
                <w:kern w:val="0"/>
                <w:sz w:val="18"/>
                <w:szCs w:val="18"/>
                <w:lang w:bidi="ar"/>
              </w:rPr>
              <w:t>年</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100%</w:t>
            </w:r>
          </w:p>
        </w:tc>
        <w:tc>
          <w:tcPr>
            <w:tcW w:w="1306" w:type="dxa"/>
            <w:tcBorders>
              <w:top w:val="single" w:sz="4" w:space="0" w:color="000000"/>
              <w:left w:val="nil"/>
              <w:bottom w:val="single" w:sz="4" w:space="0" w:color="auto"/>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right"/>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38,142,425.68 </w:t>
            </w:r>
          </w:p>
        </w:tc>
        <w:tc>
          <w:tcPr>
            <w:tcW w:w="134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right"/>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38,199,412.37 </w:t>
            </w:r>
          </w:p>
        </w:tc>
      </w:tr>
      <w:tr w:rsidR="00D56508" w:rsidRPr="00A214B0">
        <w:trPr>
          <w:trHeight w:val="315"/>
        </w:trPr>
        <w:tc>
          <w:tcPr>
            <w:tcW w:w="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2</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泰州市化工产品交易市场有限公司</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2008/12</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w:t>
            </w:r>
            <w:r w:rsidRPr="00A214B0">
              <w:rPr>
                <w:rFonts w:ascii="Times New Roman" w:eastAsia="宋体" w:hAnsi="Times New Roman" w:cs="Times New Roman"/>
                <w:color w:val="000000" w:themeColor="text1"/>
                <w:kern w:val="0"/>
                <w:sz w:val="18"/>
                <w:szCs w:val="18"/>
                <w:lang w:bidi="ar"/>
              </w:rPr>
              <w:t>年</w:t>
            </w:r>
          </w:p>
        </w:tc>
        <w:tc>
          <w:tcPr>
            <w:tcW w:w="961"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25%</w:t>
            </w:r>
          </w:p>
        </w:tc>
        <w:tc>
          <w:tcPr>
            <w:tcW w:w="13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6508" w:rsidRPr="00A214B0" w:rsidRDefault="00F1265B">
            <w:pPr>
              <w:widowControl/>
              <w:jc w:val="right"/>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125,000.00 </w:t>
            </w:r>
          </w:p>
        </w:tc>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6508" w:rsidRPr="00A214B0" w:rsidRDefault="00F1265B">
            <w:pPr>
              <w:widowControl/>
              <w:jc w:val="right"/>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146,401.75 </w:t>
            </w:r>
          </w:p>
        </w:tc>
      </w:tr>
    </w:tbl>
    <w:p w:rsidR="00D56508" w:rsidRPr="00A214B0" w:rsidRDefault="00F1265B">
      <w:pPr>
        <w:autoSpaceDE w:val="0"/>
        <w:autoSpaceDN w:val="0"/>
        <w:adjustRightInd w:val="0"/>
        <w:snapToGrid w:val="0"/>
        <w:spacing w:beforeLines="50" w:before="250" w:line="360" w:lineRule="auto"/>
        <w:ind w:firstLineChars="200" w:firstLine="480"/>
        <w:jc w:val="left"/>
        <w:textAlignment w:val="baseline"/>
        <w:outlineLvl w:val="3"/>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1</w:t>
      </w:r>
      <w:r w:rsidRPr="00A214B0">
        <w:rPr>
          <w:rFonts w:ascii="Times New Roman" w:hAnsi="Times New Roman" w:cs="Times New Roman"/>
          <w:color w:val="000000" w:themeColor="text1"/>
          <w:sz w:val="24"/>
        </w:rPr>
        <w:t>）被投资单位名称：江苏海企港务有限公司</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①</w:t>
      </w:r>
      <w:r w:rsidRPr="00A214B0">
        <w:rPr>
          <w:rFonts w:ascii="Times New Roman" w:hAnsi="Times New Roman" w:cs="Times New Roman"/>
          <w:color w:val="000000" w:themeColor="text1"/>
          <w:sz w:val="24"/>
        </w:rPr>
        <w:t>基本情况</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法定住所：泰州市高港区永安洲工业园</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法定代表人：史先召</w:t>
      </w:r>
      <w:r w:rsidRPr="00A214B0">
        <w:rPr>
          <w:rFonts w:ascii="Times New Roman" w:hAnsi="Times New Roman" w:cs="Times New Roman"/>
          <w:color w:val="000000" w:themeColor="text1"/>
          <w:sz w:val="24"/>
        </w:rPr>
        <w:t xml:space="preserve"> </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注册资本：</w:t>
      </w:r>
      <w:r w:rsidRPr="00A214B0">
        <w:rPr>
          <w:rFonts w:ascii="Times New Roman" w:hAnsi="Times New Roman" w:cs="Times New Roman"/>
          <w:color w:val="000000" w:themeColor="text1"/>
          <w:sz w:val="24"/>
        </w:rPr>
        <w:t>3761.69</w:t>
      </w:r>
      <w:r w:rsidRPr="00A214B0">
        <w:rPr>
          <w:rFonts w:ascii="Times New Roman" w:hAnsi="Times New Roman" w:cs="Times New Roman"/>
          <w:color w:val="000000" w:themeColor="text1"/>
          <w:sz w:val="24"/>
        </w:rPr>
        <w:t>万元人民币</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实缴资本：</w:t>
      </w:r>
      <w:r w:rsidRPr="00A214B0">
        <w:rPr>
          <w:color w:val="000000" w:themeColor="text1"/>
        </w:rPr>
        <w:t>3761.69</w:t>
      </w:r>
      <w:r w:rsidRPr="00A214B0">
        <w:rPr>
          <w:color w:val="000000" w:themeColor="text1"/>
        </w:rPr>
        <w:t>万元人民币</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公司类型：有限责任公司（自然人投资或控股的法人独资）</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主要经营范围：在港区内从事货物装卸</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提供码头及其他港口设施服务</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为船舶提供码头设施</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为船舶提供淡水供应等船舶港口服务</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船舶废水、洗舱水接受服务</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船舱氮封服务</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对讲机相关设备租赁服务。</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依法须经批准的项目</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经相关部门批准后方可开展经营活动</w:t>
      </w:r>
      <w:r w:rsidRPr="00A214B0">
        <w:rPr>
          <w:rFonts w:ascii="Times New Roman" w:hAnsi="Times New Roman" w:cs="Times New Roman"/>
          <w:color w:val="000000" w:themeColor="text1"/>
          <w:sz w:val="24"/>
        </w:rPr>
        <w:t>)</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fldChar w:fldCharType="begin"/>
      </w:r>
      <w:r w:rsidRPr="00A214B0">
        <w:rPr>
          <w:rFonts w:ascii="Times New Roman" w:hAnsi="Times New Roman" w:cs="Times New Roman"/>
          <w:color w:val="000000" w:themeColor="text1"/>
          <w:sz w:val="24"/>
        </w:rPr>
        <w:instrText>= 2 \* GB3</w:instrText>
      </w:r>
      <w:r w:rsidRPr="00A214B0">
        <w:rPr>
          <w:rFonts w:ascii="Times New Roman" w:hAnsi="Times New Roman" w:cs="Times New Roman"/>
          <w:color w:val="000000" w:themeColor="text1"/>
          <w:sz w:val="24"/>
        </w:rPr>
        <w:fldChar w:fldCharType="separate"/>
      </w:r>
      <w:r w:rsidRPr="00A214B0">
        <w:rPr>
          <w:rFonts w:ascii="Times New Roman" w:hAnsi="Times New Roman" w:cs="Times New Roman"/>
          <w:color w:val="000000" w:themeColor="text1"/>
          <w:sz w:val="24"/>
        </w:rPr>
        <w:t>②</w:t>
      </w:r>
      <w:r w:rsidRPr="00A214B0">
        <w:rPr>
          <w:rFonts w:ascii="Times New Roman" w:hAnsi="Times New Roman" w:cs="Times New Roman"/>
          <w:color w:val="000000" w:themeColor="text1"/>
          <w:sz w:val="24"/>
        </w:rPr>
        <w:fldChar w:fldCharType="end"/>
      </w:r>
      <w:r w:rsidRPr="00A214B0">
        <w:rPr>
          <w:rFonts w:ascii="Times New Roman" w:hAnsi="Times New Roman" w:cs="Times New Roman"/>
          <w:color w:val="000000" w:themeColor="text1"/>
          <w:sz w:val="24"/>
        </w:rPr>
        <w:t>股权结构</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截至评估基准日，股东名称、出资额和出资比例如下：</w:t>
      </w:r>
    </w:p>
    <w:p w:rsidR="00D56508" w:rsidRPr="00A214B0" w:rsidRDefault="00F1265B">
      <w:pPr>
        <w:pStyle w:val="zw"/>
        <w:spacing w:line="240" w:lineRule="auto"/>
        <w:ind w:firstLine="0"/>
        <w:jc w:val="center"/>
        <w:rPr>
          <w:rFonts w:ascii="Times New Roman" w:eastAsia="宋体" w:hAnsi="Times New Roman"/>
          <w:b/>
          <w:bCs/>
          <w:color w:val="000000" w:themeColor="text1"/>
          <w:sz w:val="21"/>
          <w:szCs w:val="21"/>
        </w:rPr>
      </w:pPr>
      <w:r w:rsidRPr="00A214B0">
        <w:rPr>
          <w:rFonts w:ascii="Times New Roman" w:eastAsia="宋体" w:hAnsi="Times New Roman"/>
          <w:b/>
          <w:bCs/>
          <w:color w:val="000000" w:themeColor="text1"/>
          <w:sz w:val="21"/>
          <w:szCs w:val="21"/>
        </w:rPr>
        <w:t>股东名称、出资额和出资比例</w:t>
      </w:r>
    </w:p>
    <w:p w:rsidR="00D56508" w:rsidRPr="00A214B0" w:rsidRDefault="00F1265B">
      <w:pPr>
        <w:pStyle w:val="zw"/>
        <w:spacing w:line="240" w:lineRule="auto"/>
        <w:ind w:firstLine="0"/>
        <w:jc w:val="right"/>
        <w:rPr>
          <w:rFonts w:ascii="Times New Roman" w:eastAsia="宋体" w:hAnsi="Times New Roman"/>
          <w:bCs/>
          <w:color w:val="000000" w:themeColor="text1"/>
          <w:sz w:val="18"/>
          <w:szCs w:val="18"/>
        </w:rPr>
      </w:pPr>
      <w:r w:rsidRPr="00A214B0">
        <w:rPr>
          <w:rFonts w:ascii="Times New Roman" w:eastAsia="宋体" w:hAnsi="Times New Roman"/>
          <w:bCs/>
          <w:color w:val="000000" w:themeColor="text1"/>
          <w:sz w:val="18"/>
          <w:szCs w:val="18"/>
        </w:rPr>
        <w:t>金额单位：人民币万元</w:t>
      </w:r>
    </w:p>
    <w:tbl>
      <w:tblPr>
        <w:tblW w:w="8975" w:type="dxa"/>
        <w:tblLayout w:type="fixed"/>
        <w:tblLook w:val="04A0" w:firstRow="1" w:lastRow="0" w:firstColumn="1" w:lastColumn="0" w:noHBand="0" w:noVBand="1"/>
      </w:tblPr>
      <w:tblGrid>
        <w:gridCol w:w="724"/>
        <w:gridCol w:w="3340"/>
        <w:gridCol w:w="1669"/>
        <w:gridCol w:w="1522"/>
        <w:gridCol w:w="1720"/>
      </w:tblGrid>
      <w:tr w:rsidR="00D56508" w:rsidRPr="00A214B0">
        <w:trPr>
          <w:trHeight w:val="27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序号</w:t>
            </w:r>
          </w:p>
        </w:tc>
        <w:tc>
          <w:tcPr>
            <w:tcW w:w="334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股东名称</w:t>
            </w:r>
          </w:p>
        </w:tc>
        <w:tc>
          <w:tcPr>
            <w:tcW w:w="1669"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认缴出资额</w:t>
            </w:r>
          </w:p>
        </w:tc>
        <w:tc>
          <w:tcPr>
            <w:tcW w:w="152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实际出资额</w:t>
            </w:r>
          </w:p>
        </w:tc>
        <w:tc>
          <w:tcPr>
            <w:tcW w:w="172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出资比例（</w:t>
            </w:r>
            <w:r w:rsidRPr="00A214B0">
              <w:rPr>
                <w:rFonts w:ascii="Times New Roman" w:hAnsi="Times New Roman" w:cs="Times New Roman"/>
                <w:b/>
                <w:bCs/>
                <w:color w:val="000000" w:themeColor="text1"/>
                <w:kern w:val="0"/>
                <w:sz w:val="18"/>
                <w:szCs w:val="18"/>
              </w:rPr>
              <w:t>%</w:t>
            </w:r>
            <w:r w:rsidRPr="00A214B0">
              <w:rPr>
                <w:rFonts w:ascii="Times New Roman" w:hAnsi="Times New Roman" w:cs="Times New Roman"/>
                <w:b/>
                <w:bCs/>
                <w:color w:val="000000" w:themeColor="text1"/>
                <w:kern w:val="0"/>
                <w:sz w:val="18"/>
                <w:szCs w:val="18"/>
              </w:rPr>
              <w:t>）</w:t>
            </w:r>
          </w:p>
        </w:tc>
      </w:tr>
      <w:tr w:rsidR="00D56508" w:rsidRPr="00A214B0">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334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江苏海企化工仓储股份有限公司</w:t>
            </w:r>
          </w:p>
        </w:tc>
        <w:tc>
          <w:tcPr>
            <w:tcW w:w="1669"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3,761.69</w:t>
            </w:r>
          </w:p>
        </w:tc>
        <w:tc>
          <w:tcPr>
            <w:tcW w:w="152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3,761.69</w:t>
            </w:r>
          </w:p>
        </w:tc>
        <w:tc>
          <w:tcPr>
            <w:tcW w:w="172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100.00</w:t>
            </w:r>
          </w:p>
        </w:tc>
      </w:tr>
      <w:tr w:rsidR="00D56508" w:rsidRPr="00A214B0">
        <w:trPr>
          <w:trHeight w:val="270"/>
        </w:trPr>
        <w:tc>
          <w:tcPr>
            <w:tcW w:w="4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合计</w:t>
            </w:r>
          </w:p>
        </w:tc>
        <w:tc>
          <w:tcPr>
            <w:tcW w:w="1669"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3,761.69</w:t>
            </w:r>
          </w:p>
        </w:tc>
        <w:tc>
          <w:tcPr>
            <w:tcW w:w="152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3,761.69</w:t>
            </w:r>
          </w:p>
        </w:tc>
        <w:tc>
          <w:tcPr>
            <w:tcW w:w="172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100.00</w:t>
            </w:r>
          </w:p>
        </w:tc>
      </w:tr>
    </w:tbl>
    <w:p w:rsidR="00D56508" w:rsidRPr="00A214B0" w:rsidRDefault="00F1265B">
      <w:pPr>
        <w:pStyle w:val="af7"/>
        <w:widowControl w:val="0"/>
        <w:spacing w:before="0" w:beforeAutospacing="0" w:after="0" w:afterAutospacing="0" w:line="360" w:lineRule="auto"/>
        <w:ind w:firstLineChars="200" w:firstLine="480"/>
        <w:rPr>
          <w:rFonts w:ascii="Times New Roman" w:hAnsi="Times New Roman"/>
          <w:color w:val="000000" w:themeColor="text1"/>
        </w:rPr>
      </w:pPr>
      <w:r w:rsidRPr="00A214B0">
        <w:rPr>
          <w:rFonts w:ascii="Times New Roman" w:hAnsi="Times New Roman"/>
          <w:color w:val="000000" w:themeColor="text1"/>
        </w:rPr>
        <w:fldChar w:fldCharType="begin"/>
      </w:r>
      <w:r w:rsidRPr="00A214B0">
        <w:rPr>
          <w:rFonts w:ascii="Times New Roman" w:hAnsi="Times New Roman"/>
          <w:color w:val="000000" w:themeColor="text1"/>
        </w:rPr>
        <w:instrText>= 3 \* GB3</w:instrText>
      </w:r>
      <w:r w:rsidRPr="00A214B0">
        <w:rPr>
          <w:rFonts w:ascii="Times New Roman" w:hAnsi="Times New Roman"/>
          <w:color w:val="000000" w:themeColor="text1"/>
        </w:rPr>
        <w:fldChar w:fldCharType="separate"/>
      </w:r>
      <w:r w:rsidRPr="00A214B0">
        <w:rPr>
          <w:rFonts w:ascii="Times New Roman" w:hAnsi="Times New Roman"/>
          <w:color w:val="000000" w:themeColor="text1"/>
        </w:rPr>
        <w:t>③</w:t>
      </w:r>
      <w:r w:rsidRPr="00A214B0">
        <w:rPr>
          <w:rFonts w:ascii="Times New Roman" w:hAnsi="Times New Roman"/>
          <w:color w:val="000000" w:themeColor="text1"/>
        </w:rPr>
        <w:fldChar w:fldCharType="end"/>
      </w:r>
      <w:r w:rsidRPr="00A214B0">
        <w:rPr>
          <w:rFonts w:ascii="Times New Roman" w:hAnsi="Times New Roman"/>
          <w:color w:val="000000" w:themeColor="text1"/>
        </w:rPr>
        <w:t>公司近三年及评估基准日资产、财务状况如下表：</w:t>
      </w:r>
    </w:p>
    <w:p w:rsidR="00D56508" w:rsidRPr="00A214B0" w:rsidRDefault="00F1265B">
      <w:pPr>
        <w:adjustRightInd w:val="0"/>
        <w:snapToGrid w:val="0"/>
        <w:spacing w:line="360" w:lineRule="auto"/>
        <w:jc w:val="center"/>
        <w:rPr>
          <w:rFonts w:ascii="Times New Roman" w:hAnsi="Times New Roman" w:cs="Times New Roman"/>
          <w:b/>
          <w:color w:val="000000" w:themeColor="text1"/>
          <w:szCs w:val="21"/>
        </w:rPr>
      </w:pPr>
      <w:r w:rsidRPr="00A214B0">
        <w:rPr>
          <w:rFonts w:ascii="Times New Roman" w:hAnsi="Times New Roman" w:cs="Times New Roman"/>
          <w:b/>
          <w:color w:val="000000" w:themeColor="text1"/>
          <w:szCs w:val="21"/>
        </w:rPr>
        <w:t>资产负债及财务状况</w:t>
      </w:r>
    </w:p>
    <w:p w:rsidR="00D56508" w:rsidRPr="00A214B0" w:rsidRDefault="00F1265B">
      <w:pPr>
        <w:adjustRightInd w:val="0"/>
        <w:snapToGrid w:val="0"/>
        <w:ind w:firstLineChars="700" w:firstLine="1260"/>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金额单位：人民币元</w:t>
      </w:r>
    </w:p>
    <w:tbl>
      <w:tblPr>
        <w:tblW w:w="9049" w:type="dxa"/>
        <w:tblLayout w:type="fixed"/>
        <w:tblLook w:val="04A0" w:firstRow="1" w:lastRow="0" w:firstColumn="1" w:lastColumn="0" w:noHBand="0" w:noVBand="1"/>
      </w:tblPr>
      <w:tblGrid>
        <w:gridCol w:w="659"/>
        <w:gridCol w:w="1692"/>
        <w:gridCol w:w="1712"/>
        <w:gridCol w:w="1712"/>
        <w:gridCol w:w="1712"/>
        <w:gridCol w:w="1562"/>
      </w:tblGrid>
      <w:tr w:rsidR="00D56508" w:rsidRPr="00A214B0">
        <w:trPr>
          <w:trHeight w:val="233"/>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序号</w:t>
            </w:r>
          </w:p>
        </w:tc>
        <w:tc>
          <w:tcPr>
            <w:tcW w:w="169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项目</w:t>
            </w:r>
          </w:p>
        </w:tc>
        <w:tc>
          <w:tcPr>
            <w:tcW w:w="171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color w:val="000000" w:themeColor="text1"/>
                <w:w w:val="97"/>
                <w:kern w:val="0"/>
                <w:sz w:val="18"/>
                <w:szCs w:val="18"/>
              </w:rPr>
            </w:pPr>
            <w:r w:rsidRPr="00A214B0">
              <w:rPr>
                <w:rFonts w:ascii="Times New Roman" w:eastAsia="宋体" w:hAnsi="Times New Roman" w:cs="Times New Roman"/>
                <w:b/>
                <w:color w:val="000000" w:themeColor="text1"/>
                <w:w w:val="97"/>
                <w:kern w:val="0"/>
                <w:sz w:val="18"/>
                <w:szCs w:val="18"/>
              </w:rPr>
              <w:t>2016</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12</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31</w:t>
            </w:r>
            <w:r w:rsidRPr="00A214B0">
              <w:rPr>
                <w:rFonts w:ascii="Times New Roman" w:eastAsia="宋体" w:hAnsi="Times New Roman" w:cs="Times New Roman"/>
                <w:b/>
                <w:color w:val="000000" w:themeColor="text1"/>
                <w:w w:val="97"/>
                <w:kern w:val="0"/>
                <w:sz w:val="18"/>
                <w:szCs w:val="18"/>
              </w:rPr>
              <w:t>日</w:t>
            </w:r>
          </w:p>
        </w:tc>
        <w:tc>
          <w:tcPr>
            <w:tcW w:w="171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color w:val="000000" w:themeColor="text1"/>
                <w:w w:val="97"/>
                <w:kern w:val="0"/>
                <w:sz w:val="18"/>
                <w:szCs w:val="18"/>
              </w:rPr>
            </w:pPr>
            <w:r w:rsidRPr="00A214B0">
              <w:rPr>
                <w:rFonts w:ascii="Times New Roman" w:eastAsia="宋体" w:hAnsi="Times New Roman" w:cs="Times New Roman"/>
                <w:b/>
                <w:color w:val="000000" w:themeColor="text1"/>
                <w:w w:val="97"/>
                <w:kern w:val="0"/>
                <w:sz w:val="18"/>
                <w:szCs w:val="18"/>
              </w:rPr>
              <w:t>2017</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12</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31</w:t>
            </w:r>
            <w:r w:rsidRPr="00A214B0">
              <w:rPr>
                <w:rFonts w:ascii="Times New Roman" w:eastAsia="宋体" w:hAnsi="Times New Roman" w:cs="Times New Roman"/>
                <w:b/>
                <w:color w:val="000000" w:themeColor="text1"/>
                <w:w w:val="97"/>
                <w:kern w:val="0"/>
                <w:sz w:val="18"/>
                <w:szCs w:val="18"/>
              </w:rPr>
              <w:t>日</w:t>
            </w:r>
          </w:p>
        </w:tc>
        <w:tc>
          <w:tcPr>
            <w:tcW w:w="171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color w:val="000000" w:themeColor="text1"/>
                <w:w w:val="97"/>
                <w:kern w:val="0"/>
                <w:sz w:val="18"/>
                <w:szCs w:val="18"/>
              </w:rPr>
              <w:t>2018</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12</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31</w:t>
            </w:r>
            <w:r w:rsidRPr="00A214B0">
              <w:rPr>
                <w:rFonts w:ascii="Times New Roman" w:eastAsia="宋体" w:hAnsi="Times New Roman" w:cs="Times New Roman"/>
                <w:b/>
                <w:color w:val="000000" w:themeColor="text1"/>
                <w:w w:val="97"/>
                <w:kern w:val="0"/>
                <w:sz w:val="18"/>
                <w:szCs w:val="18"/>
              </w:rPr>
              <w:t>日</w:t>
            </w:r>
          </w:p>
        </w:tc>
        <w:tc>
          <w:tcPr>
            <w:tcW w:w="1562" w:type="dxa"/>
            <w:tcBorders>
              <w:top w:val="single" w:sz="4" w:space="0" w:color="auto"/>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eastAsia="宋体" w:hAnsi="Times New Roman" w:cs="Times New Roman"/>
                <w:b/>
                <w:color w:val="000000" w:themeColor="text1"/>
                <w:w w:val="97"/>
                <w:kern w:val="0"/>
                <w:sz w:val="18"/>
                <w:szCs w:val="18"/>
              </w:rPr>
            </w:pPr>
            <w:r w:rsidRPr="00A214B0">
              <w:rPr>
                <w:rFonts w:ascii="Times New Roman" w:eastAsia="宋体" w:hAnsi="Times New Roman" w:cs="Times New Roman"/>
                <w:b/>
                <w:color w:val="000000" w:themeColor="text1"/>
                <w:w w:val="97"/>
                <w:kern w:val="0"/>
                <w:sz w:val="18"/>
                <w:szCs w:val="18"/>
              </w:rPr>
              <w:t>2019</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4</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30</w:t>
            </w:r>
            <w:r w:rsidRPr="00A214B0">
              <w:rPr>
                <w:rFonts w:ascii="Times New Roman" w:eastAsia="宋体" w:hAnsi="Times New Roman" w:cs="Times New Roman"/>
                <w:b/>
                <w:color w:val="000000" w:themeColor="text1"/>
                <w:w w:val="97"/>
                <w:kern w:val="0"/>
                <w:sz w:val="18"/>
                <w:szCs w:val="18"/>
              </w:rPr>
              <w:t>日</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w:t>
            </w: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总资产</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598,295.53</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80,881,649.30 </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59,615,801.59 </w:t>
            </w:r>
          </w:p>
        </w:tc>
        <w:tc>
          <w:tcPr>
            <w:tcW w:w="1562"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58,532,772.98 </w:t>
            </w:r>
          </w:p>
        </w:tc>
      </w:tr>
      <w:tr w:rsidR="00D56508" w:rsidRPr="00A214B0">
        <w:trPr>
          <w:trHeight w:val="234"/>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w:t>
            </w: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净资产</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581,176.15</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38,598,647.97 </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39,845,472.82 </w:t>
            </w:r>
          </w:p>
        </w:tc>
        <w:tc>
          <w:tcPr>
            <w:tcW w:w="1562"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40,170,639.21 </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adjustRightInd w:val="0"/>
              <w:snapToGrid w:val="0"/>
              <w:spacing w:line="320" w:lineRule="exact"/>
              <w:jc w:val="center"/>
              <w:rPr>
                <w:rFonts w:ascii="Times New Roman" w:eastAsia="宋体" w:hAnsi="Times New Roman" w:cs="Times New Roman"/>
                <w:color w:val="000000" w:themeColor="text1"/>
                <w:kern w:val="0"/>
                <w:sz w:val="18"/>
                <w:szCs w:val="18"/>
              </w:rPr>
            </w:pP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项目</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2016</w:t>
            </w:r>
            <w:r w:rsidRPr="00A214B0">
              <w:rPr>
                <w:rFonts w:ascii="Times New Roman" w:eastAsia="宋体" w:hAnsi="Times New Roman" w:cs="Times New Roman"/>
                <w:b/>
                <w:bCs/>
                <w:color w:val="000000" w:themeColor="text1"/>
                <w:kern w:val="0"/>
                <w:sz w:val="18"/>
                <w:szCs w:val="18"/>
              </w:rPr>
              <w:t>年度</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2017</w:t>
            </w:r>
            <w:r w:rsidRPr="00A214B0">
              <w:rPr>
                <w:rFonts w:ascii="Times New Roman" w:eastAsia="宋体" w:hAnsi="Times New Roman" w:cs="Times New Roman"/>
                <w:b/>
                <w:bCs/>
                <w:color w:val="000000" w:themeColor="text1"/>
                <w:kern w:val="0"/>
                <w:sz w:val="18"/>
                <w:szCs w:val="18"/>
              </w:rPr>
              <w:t>年度</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color w:val="000000" w:themeColor="text1"/>
                <w:sz w:val="18"/>
                <w:szCs w:val="18"/>
              </w:rPr>
              <w:t>2018</w:t>
            </w:r>
            <w:r w:rsidRPr="00A214B0">
              <w:rPr>
                <w:rFonts w:ascii="Times New Roman" w:eastAsia="宋体" w:hAnsi="Times New Roman" w:cs="Times New Roman"/>
                <w:b/>
                <w:bCs/>
                <w:color w:val="000000" w:themeColor="text1"/>
                <w:kern w:val="0"/>
                <w:sz w:val="18"/>
                <w:szCs w:val="18"/>
              </w:rPr>
              <w:t>年度</w:t>
            </w:r>
          </w:p>
        </w:tc>
        <w:tc>
          <w:tcPr>
            <w:tcW w:w="1562" w:type="dxa"/>
            <w:tcBorders>
              <w:top w:val="nil"/>
              <w:left w:val="nil"/>
              <w:bottom w:val="single" w:sz="4" w:space="0" w:color="auto"/>
              <w:right w:val="single" w:sz="4" w:space="0" w:color="auto"/>
            </w:tcBorders>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b/>
                <w:color w:val="000000" w:themeColor="text1"/>
                <w:w w:val="97"/>
                <w:kern w:val="0"/>
                <w:sz w:val="18"/>
                <w:szCs w:val="18"/>
              </w:rPr>
              <w:t>2019</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1-4</w:t>
            </w:r>
            <w:r w:rsidRPr="00A214B0">
              <w:rPr>
                <w:rFonts w:ascii="Times New Roman" w:eastAsia="宋体" w:hAnsi="Times New Roman" w:cs="Times New Roman"/>
                <w:b/>
                <w:color w:val="000000" w:themeColor="text1"/>
                <w:w w:val="97"/>
                <w:kern w:val="0"/>
                <w:sz w:val="18"/>
                <w:szCs w:val="18"/>
              </w:rPr>
              <w:t>月</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w:t>
            </w: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lef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营业收入</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35,000.00</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5,545,471.95 </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7,590,751.81 </w:t>
            </w:r>
          </w:p>
        </w:tc>
        <w:tc>
          <w:tcPr>
            <w:tcW w:w="1562"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2,113,368.79 </w:t>
            </w:r>
          </w:p>
        </w:tc>
      </w:tr>
      <w:tr w:rsidR="00D56508" w:rsidRPr="00A214B0">
        <w:trPr>
          <w:cantSplit/>
          <w:trHeight w:val="232"/>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w:t>
            </w:r>
          </w:p>
        </w:tc>
        <w:tc>
          <w:tcPr>
            <w:tcW w:w="1692" w:type="dxa"/>
            <w:tcBorders>
              <w:top w:val="nil"/>
              <w:left w:val="nil"/>
              <w:bottom w:val="single" w:sz="4" w:space="0" w:color="auto"/>
              <w:right w:val="single" w:sz="4" w:space="0" w:color="auto"/>
            </w:tcBorders>
            <w:shd w:val="clear" w:color="auto" w:fill="auto"/>
          </w:tcPr>
          <w:p w:rsidR="00D56508" w:rsidRPr="00A214B0" w:rsidRDefault="00F1265B">
            <w:pPr>
              <w:spacing w:line="320" w:lineRule="exact"/>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利润总额</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21,273.36</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663,209.56 </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571,535.50 </w:t>
            </w:r>
          </w:p>
        </w:tc>
        <w:tc>
          <w:tcPr>
            <w:tcW w:w="1562"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339,193.10 </w:t>
            </w:r>
          </w:p>
        </w:tc>
      </w:tr>
      <w:tr w:rsidR="00D56508" w:rsidRPr="00A214B0">
        <w:trPr>
          <w:trHeight w:val="234"/>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w:t>
            </w:r>
          </w:p>
        </w:tc>
        <w:tc>
          <w:tcPr>
            <w:tcW w:w="1692" w:type="dxa"/>
            <w:tcBorders>
              <w:top w:val="nil"/>
              <w:left w:val="nil"/>
              <w:bottom w:val="single" w:sz="4" w:space="0" w:color="auto"/>
              <w:right w:val="single" w:sz="4" w:space="0" w:color="auto"/>
            </w:tcBorders>
            <w:shd w:val="clear" w:color="auto" w:fill="auto"/>
          </w:tcPr>
          <w:p w:rsidR="00D56508" w:rsidRPr="00A214B0" w:rsidRDefault="00F1265B">
            <w:pPr>
              <w:spacing w:line="320" w:lineRule="exact"/>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净利润</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19,466.87</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497,407.17 </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1,246,824.85 </w:t>
            </w:r>
          </w:p>
        </w:tc>
        <w:tc>
          <w:tcPr>
            <w:tcW w:w="1562"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 xml:space="preserve">325,166.39 </w:t>
            </w:r>
          </w:p>
        </w:tc>
      </w:tr>
    </w:tbl>
    <w:p w:rsidR="00D56508" w:rsidRPr="00A214B0" w:rsidRDefault="00F1265B">
      <w:pPr>
        <w:spacing w:line="360" w:lineRule="auto"/>
        <w:ind w:firstLineChars="250" w:firstLine="60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至评估基准日，江苏海企港务有限公司在正常经营中。</w:t>
      </w:r>
    </w:p>
    <w:p w:rsidR="00D56508" w:rsidRPr="00A214B0" w:rsidRDefault="00F1265B">
      <w:pPr>
        <w:autoSpaceDE w:val="0"/>
        <w:autoSpaceDN w:val="0"/>
        <w:adjustRightInd w:val="0"/>
        <w:snapToGrid w:val="0"/>
        <w:spacing w:line="360" w:lineRule="auto"/>
        <w:ind w:firstLineChars="200" w:firstLine="480"/>
        <w:jc w:val="left"/>
        <w:textAlignment w:val="baseline"/>
        <w:outlineLvl w:val="3"/>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2</w:t>
      </w:r>
      <w:r w:rsidRPr="00A214B0">
        <w:rPr>
          <w:rFonts w:ascii="Times New Roman" w:hAnsi="Times New Roman" w:cs="Times New Roman"/>
          <w:color w:val="000000" w:themeColor="text1"/>
          <w:sz w:val="24"/>
        </w:rPr>
        <w:t>）被投资单位名称：泰州市化工产品交易市场有限公司</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①</w:t>
      </w:r>
      <w:r w:rsidRPr="00A214B0">
        <w:rPr>
          <w:rFonts w:ascii="Times New Roman" w:hAnsi="Times New Roman" w:cs="Times New Roman"/>
          <w:color w:val="000000" w:themeColor="text1"/>
          <w:sz w:val="24"/>
        </w:rPr>
        <w:t>基本情况</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法定住所：泰州市高港区永安洲工业园</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法定代表人：卜新忠</w:t>
      </w:r>
      <w:r w:rsidRPr="00A214B0">
        <w:rPr>
          <w:rFonts w:ascii="Times New Roman" w:hAnsi="Times New Roman" w:cs="Times New Roman"/>
          <w:color w:val="000000" w:themeColor="text1"/>
          <w:sz w:val="24"/>
        </w:rPr>
        <w:t xml:space="preserve"> </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注册资本：</w:t>
      </w:r>
      <w:r w:rsidRPr="00A214B0">
        <w:rPr>
          <w:rFonts w:ascii="Times New Roman" w:hAnsi="Times New Roman" w:cs="Times New Roman"/>
          <w:color w:val="000000" w:themeColor="text1"/>
          <w:sz w:val="24"/>
        </w:rPr>
        <w:t>50</w:t>
      </w:r>
      <w:r w:rsidRPr="00A214B0">
        <w:rPr>
          <w:rFonts w:ascii="Times New Roman" w:hAnsi="Times New Roman" w:cs="Times New Roman"/>
          <w:color w:val="000000" w:themeColor="text1"/>
          <w:sz w:val="24"/>
        </w:rPr>
        <w:t>万元人民币</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实缴资本：</w:t>
      </w:r>
      <w:r w:rsidRPr="00A214B0">
        <w:rPr>
          <w:color w:val="000000" w:themeColor="text1"/>
        </w:rPr>
        <w:t>50</w:t>
      </w:r>
      <w:r w:rsidRPr="00A214B0">
        <w:rPr>
          <w:color w:val="000000" w:themeColor="text1"/>
        </w:rPr>
        <w:t>万元人民币</w:t>
      </w:r>
    </w:p>
    <w:p w:rsidR="00D56508" w:rsidRPr="00A214B0" w:rsidRDefault="00F1265B">
      <w:pPr>
        <w:tabs>
          <w:tab w:val="left" w:pos="0"/>
        </w:tabs>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公司类型：有限责任公司</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主要经营范围：市场设施租赁</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市场管理服务。</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依法须经批准的项目</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经相关部门批准后方可开展经营活动</w:t>
      </w:r>
      <w:r w:rsidRPr="00A214B0">
        <w:rPr>
          <w:rFonts w:ascii="Times New Roman" w:hAnsi="Times New Roman" w:cs="Times New Roman"/>
          <w:color w:val="000000" w:themeColor="text1"/>
          <w:sz w:val="24"/>
        </w:rPr>
        <w:t>)</w:t>
      </w:r>
    </w:p>
    <w:p w:rsidR="00D56508" w:rsidRPr="00A214B0" w:rsidRDefault="00F1265B">
      <w:pPr>
        <w:autoSpaceDE w:val="0"/>
        <w:autoSpaceDN w:val="0"/>
        <w:adjustRightInd w:val="0"/>
        <w:snapToGrid w:val="0"/>
        <w:spacing w:line="360" w:lineRule="auto"/>
        <w:ind w:firstLineChars="200" w:firstLine="480"/>
        <w:jc w:val="left"/>
        <w:textAlignment w:val="baseline"/>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fldChar w:fldCharType="begin"/>
      </w:r>
      <w:r w:rsidRPr="00A214B0">
        <w:rPr>
          <w:rFonts w:ascii="Times New Roman" w:hAnsi="Times New Roman" w:cs="Times New Roman"/>
          <w:color w:val="000000" w:themeColor="text1"/>
          <w:sz w:val="24"/>
        </w:rPr>
        <w:instrText>= 2 \* GB3</w:instrText>
      </w:r>
      <w:r w:rsidRPr="00A214B0">
        <w:rPr>
          <w:rFonts w:ascii="Times New Roman" w:hAnsi="Times New Roman" w:cs="Times New Roman"/>
          <w:color w:val="000000" w:themeColor="text1"/>
          <w:sz w:val="24"/>
        </w:rPr>
        <w:fldChar w:fldCharType="separate"/>
      </w:r>
      <w:r w:rsidRPr="00A214B0">
        <w:rPr>
          <w:rFonts w:ascii="Times New Roman" w:hAnsi="Times New Roman" w:cs="Times New Roman"/>
          <w:color w:val="000000" w:themeColor="text1"/>
          <w:sz w:val="24"/>
        </w:rPr>
        <w:t>②</w:t>
      </w:r>
      <w:r w:rsidRPr="00A214B0">
        <w:rPr>
          <w:rFonts w:ascii="Times New Roman" w:hAnsi="Times New Roman" w:cs="Times New Roman"/>
          <w:color w:val="000000" w:themeColor="text1"/>
          <w:sz w:val="24"/>
        </w:rPr>
        <w:fldChar w:fldCharType="end"/>
      </w:r>
      <w:r w:rsidRPr="00A214B0">
        <w:rPr>
          <w:rFonts w:ascii="Times New Roman" w:hAnsi="Times New Roman" w:cs="Times New Roman"/>
          <w:color w:val="000000" w:themeColor="text1"/>
          <w:sz w:val="24"/>
        </w:rPr>
        <w:t>股权结构</w:t>
      </w:r>
    </w:p>
    <w:p w:rsidR="00D56508" w:rsidRPr="00A214B0" w:rsidRDefault="00F1265B">
      <w:pPr>
        <w:autoSpaceDE w:val="0"/>
        <w:autoSpaceDN w:val="0"/>
        <w:adjustRightInd w:val="0"/>
        <w:snapToGrid w:val="0"/>
        <w:spacing w:line="360" w:lineRule="auto"/>
        <w:ind w:firstLineChars="200" w:firstLine="480"/>
        <w:textAlignment w:val="baseline"/>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截至评估基准日，股东名称、出资额和出资比例如下：</w:t>
      </w:r>
    </w:p>
    <w:p w:rsidR="00D56508" w:rsidRPr="00A214B0" w:rsidRDefault="00F1265B">
      <w:pPr>
        <w:pStyle w:val="zw"/>
        <w:spacing w:line="240" w:lineRule="auto"/>
        <w:ind w:firstLine="0"/>
        <w:jc w:val="center"/>
        <w:rPr>
          <w:rFonts w:ascii="Times New Roman" w:eastAsia="宋体" w:hAnsi="Times New Roman"/>
          <w:b/>
          <w:bCs/>
          <w:color w:val="000000" w:themeColor="text1"/>
          <w:sz w:val="21"/>
          <w:szCs w:val="21"/>
        </w:rPr>
      </w:pPr>
      <w:r w:rsidRPr="00A214B0">
        <w:rPr>
          <w:rFonts w:ascii="Times New Roman" w:eastAsia="宋体" w:hAnsi="Times New Roman"/>
          <w:b/>
          <w:bCs/>
          <w:color w:val="000000" w:themeColor="text1"/>
          <w:sz w:val="21"/>
          <w:szCs w:val="21"/>
        </w:rPr>
        <w:t>股东名称、出资额和出资比例</w:t>
      </w:r>
    </w:p>
    <w:p w:rsidR="00D56508" w:rsidRPr="00A214B0" w:rsidRDefault="00F1265B">
      <w:pPr>
        <w:pStyle w:val="zw"/>
        <w:spacing w:line="240" w:lineRule="auto"/>
        <w:ind w:firstLine="0"/>
        <w:jc w:val="right"/>
        <w:rPr>
          <w:rFonts w:ascii="Times New Roman" w:eastAsia="宋体" w:hAnsi="Times New Roman"/>
          <w:bCs/>
          <w:color w:val="000000" w:themeColor="text1"/>
          <w:sz w:val="18"/>
          <w:szCs w:val="18"/>
        </w:rPr>
      </w:pPr>
      <w:r w:rsidRPr="00A214B0">
        <w:rPr>
          <w:rFonts w:ascii="Times New Roman" w:eastAsia="宋体" w:hAnsi="Times New Roman"/>
          <w:bCs/>
          <w:color w:val="000000" w:themeColor="text1"/>
          <w:sz w:val="18"/>
          <w:szCs w:val="18"/>
        </w:rPr>
        <w:t>金额单位：人民币万元</w:t>
      </w:r>
    </w:p>
    <w:tbl>
      <w:tblPr>
        <w:tblW w:w="8975" w:type="dxa"/>
        <w:tblLayout w:type="fixed"/>
        <w:tblLook w:val="04A0" w:firstRow="1" w:lastRow="0" w:firstColumn="1" w:lastColumn="0" w:noHBand="0" w:noVBand="1"/>
      </w:tblPr>
      <w:tblGrid>
        <w:gridCol w:w="724"/>
        <w:gridCol w:w="3340"/>
        <w:gridCol w:w="1669"/>
        <w:gridCol w:w="1522"/>
        <w:gridCol w:w="1720"/>
      </w:tblGrid>
      <w:tr w:rsidR="00D56508" w:rsidRPr="00A214B0">
        <w:trPr>
          <w:trHeight w:val="27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序号</w:t>
            </w:r>
          </w:p>
        </w:tc>
        <w:tc>
          <w:tcPr>
            <w:tcW w:w="334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股东名称</w:t>
            </w:r>
          </w:p>
        </w:tc>
        <w:tc>
          <w:tcPr>
            <w:tcW w:w="1669"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认缴出资额</w:t>
            </w:r>
          </w:p>
        </w:tc>
        <w:tc>
          <w:tcPr>
            <w:tcW w:w="152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实际出资额</w:t>
            </w:r>
          </w:p>
        </w:tc>
        <w:tc>
          <w:tcPr>
            <w:tcW w:w="172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出资比例（</w:t>
            </w:r>
            <w:r w:rsidRPr="00A214B0">
              <w:rPr>
                <w:rFonts w:ascii="Times New Roman" w:hAnsi="Times New Roman" w:cs="Times New Roman"/>
                <w:b/>
                <w:bCs/>
                <w:color w:val="000000" w:themeColor="text1"/>
                <w:kern w:val="0"/>
                <w:sz w:val="18"/>
                <w:szCs w:val="18"/>
              </w:rPr>
              <w:t>%</w:t>
            </w:r>
            <w:r w:rsidRPr="00A214B0">
              <w:rPr>
                <w:rFonts w:ascii="Times New Roman" w:hAnsi="Times New Roman" w:cs="Times New Roman"/>
                <w:b/>
                <w:bCs/>
                <w:color w:val="000000" w:themeColor="text1"/>
                <w:kern w:val="0"/>
                <w:sz w:val="18"/>
                <w:szCs w:val="18"/>
              </w:rPr>
              <w:t>）</w:t>
            </w:r>
          </w:p>
        </w:tc>
      </w:tr>
      <w:tr w:rsidR="00D56508" w:rsidRPr="00A214B0">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334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江苏永兴港口开发有限公司</w:t>
            </w:r>
          </w:p>
        </w:tc>
        <w:tc>
          <w:tcPr>
            <w:tcW w:w="1669"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w:t>
            </w:r>
          </w:p>
        </w:tc>
        <w:tc>
          <w:tcPr>
            <w:tcW w:w="152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w:t>
            </w:r>
          </w:p>
        </w:tc>
        <w:tc>
          <w:tcPr>
            <w:tcW w:w="172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r>
      <w:tr w:rsidR="00D56508" w:rsidRPr="00A214B0">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334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江苏省对外经贸股份有限公司</w:t>
            </w:r>
          </w:p>
        </w:tc>
        <w:tc>
          <w:tcPr>
            <w:tcW w:w="1669"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12.5</w:t>
            </w:r>
          </w:p>
        </w:tc>
        <w:tc>
          <w:tcPr>
            <w:tcW w:w="152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12.5</w:t>
            </w:r>
          </w:p>
        </w:tc>
        <w:tc>
          <w:tcPr>
            <w:tcW w:w="172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w:t>
            </w:r>
          </w:p>
        </w:tc>
      </w:tr>
      <w:tr w:rsidR="00D56508" w:rsidRPr="00A214B0">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334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江苏海企化工仓储股份有限公司</w:t>
            </w:r>
          </w:p>
        </w:tc>
        <w:tc>
          <w:tcPr>
            <w:tcW w:w="1669"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12.5</w:t>
            </w:r>
          </w:p>
        </w:tc>
        <w:tc>
          <w:tcPr>
            <w:tcW w:w="152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12.5</w:t>
            </w:r>
          </w:p>
        </w:tc>
        <w:tc>
          <w:tcPr>
            <w:tcW w:w="172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w:t>
            </w:r>
          </w:p>
        </w:tc>
      </w:tr>
      <w:tr w:rsidR="00D56508" w:rsidRPr="00A214B0">
        <w:trPr>
          <w:trHeight w:val="270"/>
        </w:trPr>
        <w:tc>
          <w:tcPr>
            <w:tcW w:w="4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合计</w:t>
            </w:r>
          </w:p>
        </w:tc>
        <w:tc>
          <w:tcPr>
            <w:tcW w:w="1669"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50.00</w:t>
            </w:r>
          </w:p>
        </w:tc>
        <w:tc>
          <w:tcPr>
            <w:tcW w:w="152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50.00</w:t>
            </w:r>
          </w:p>
        </w:tc>
        <w:tc>
          <w:tcPr>
            <w:tcW w:w="1720"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100.00</w:t>
            </w:r>
          </w:p>
        </w:tc>
      </w:tr>
    </w:tbl>
    <w:p w:rsidR="00D56508" w:rsidRPr="00A214B0" w:rsidRDefault="00F1265B">
      <w:pPr>
        <w:pStyle w:val="af7"/>
        <w:widowControl w:val="0"/>
        <w:spacing w:before="0" w:beforeAutospacing="0" w:after="0" w:afterAutospacing="0" w:line="360" w:lineRule="auto"/>
        <w:ind w:firstLineChars="200" w:firstLine="480"/>
        <w:rPr>
          <w:rFonts w:ascii="Times New Roman" w:hAnsi="Times New Roman"/>
          <w:color w:val="000000" w:themeColor="text1"/>
        </w:rPr>
      </w:pPr>
      <w:r w:rsidRPr="00A214B0">
        <w:rPr>
          <w:rFonts w:ascii="Times New Roman" w:hAnsi="Times New Roman"/>
          <w:color w:val="000000" w:themeColor="text1"/>
        </w:rPr>
        <w:fldChar w:fldCharType="begin"/>
      </w:r>
      <w:r w:rsidRPr="00A214B0">
        <w:rPr>
          <w:rFonts w:ascii="Times New Roman" w:hAnsi="Times New Roman"/>
          <w:color w:val="000000" w:themeColor="text1"/>
        </w:rPr>
        <w:instrText>= 3 \* GB3</w:instrText>
      </w:r>
      <w:r w:rsidRPr="00A214B0">
        <w:rPr>
          <w:rFonts w:ascii="Times New Roman" w:hAnsi="Times New Roman"/>
          <w:color w:val="000000" w:themeColor="text1"/>
        </w:rPr>
        <w:fldChar w:fldCharType="separate"/>
      </w:r>
      <w:r w:rsidRPr="00A214B0">
        <w:rPr>
          <w:rFonts w:ascii="Times New Roman" w:hAnsi="Times New Roman"/>
          <w:color w:val="000000" w:themeColor="text1"/>
        </w:rPr>
        <w:t>③</w:t>
      </w:r>
      <w:r w:rsidRPr="00A214B0">
        <w:rPr>
          <w:rFonts w:ascii="Times New Roman" w:hAnsi="Times New Roman"/>
          <w:color w:val="000000" w:themeColor="text1"/>
        </w:rPr>
        <w:fldChar w:fldCharType="end"/>
      </w:r>
      <w:r w:rsidRPr="00A214B0">
        <w:rPr>
          <w:rFonts w:ascii="Times New Roman" w:hAnsi="Times New Roman"/>
          <w:color w:val="000000" w:themeColor="text1"/>
        </w:rPr>
        <w:t>公司近三年及评估基准日资产、财务状况如下表：</w:t>
      </w:r>
    </w:p>
    <w:p w:rsidR="00D56508" w:rsidRPr="00A214B0" w:rsidRDefault="00F1265B">
      <w:pPr>
        <w:adjustRightInd w:val="0"/>
        <w:snapToGrid w:val="0"/>
        <w:spacing w:line="360" w:lineRule="auto"/>
        <w:jc w:val="center"/>
        <w:rPr>
          <w:rFonts w:ascii="Times New Roman" w:hAnsi="Times New Roman" w:cs="Times New Roman"/>
          <w:b/>
          <w:color w:val="000000" w:themeColor="text1"/>
          <w:szCs w:val="21"/>
        </w:rPr>
      </w:pPr>
      <w:r w:rsidRPr="00A214B0">
        <w:rPr>
          <w:rFonts w:ascii="Times New Roman" w:hAnsi="Times New Roman" w:cs="Times New Roman"/>
          <w:b/>
          <w:color w:val="000000" w:themeColor="text1"/>
          <w:szCs w:val="21"/>
        </w:rPr>
        <w:t>资产负债及财务状况</w:t>
      </w:r>
    </w:p>
    <w:p w:rsidR="00D56508" w:rsidRPr="00A214B0" w:rsidRDefault="00F1265B">
      <w:pPr>
        <w:adjustRightInd w:val="0"/>
        <w:snapToGrid w:val="0"/>
        <w:ind w:firstLineChars="700" w:firstLine="1260"/>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金额单位：人民币元</w:t>
      </w:r>
    </w:p>
    <w:tbl>
      <w:tblPr>
        <w:tblW w:w="9049" w:type="dxa"/>
        <w:tblLayout w:type="fixed"/>
        <w:tblLook w:val="04A0" w:firstRow="1" w:lastRow="0" w:firstColumn="1" w:lastColumn="0" w:noHBand="0" w:noVBand="1"/>
      </w:tblPr>
      <w:tblGrid>
        <w:gridCol w:w="659"/>
        <w:gridCol w:w="1692"/>
        <w:gridCol w:w="1712"/>
        <w:gridCol w:w="1712"/>
        <w:gridCol w:w="1712"/>
        <w:gridCol w:w="1562"/>
      </w:tblGrid>
      <w:tr w:rsidR="00D56508" w:rsidRPr="00A214B0">
        <w:trPr>
          <w:trHeight w:val="233"/>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序号</w:t>
            </w:r>
          </w:p>
        </w:tc>
        <w:tc>
          <w:tcPr>
            <w:tcW w:w="169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项目</w:t>
            </w:r>
          </w:p>
        </w:tc>
        <w:tc>
          <w:tcPr>
            <w:tcW w:w="171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color w:val="000000" w:themeColor="text1"/>
                <w:w w:val="97"/>
                <w:kern w:val="0"/>
                <w:sz w:val="18"/>
                <w:szCs w:val="18"/>
              </w:rPr>
            </w:pPr>
            <w:r w:rsidRPr="00A214B0">
              <w:rPr>
                <w:rFonts w:ascii="Times New Roman" w:eastAsia="宋体" w:hAnsi="Times New Roman" w:cs="Times New Roman"/>
                <w:b/>
                <w:color w:val="000000" w:themeColor="text1"/>
                <w:w w:val="97"/>
                <w:kern w:val="0"/>
                <w:sz w:val="18"/>
                <w:szCs w:val="18"/>
              </w:rPr>
              <w:t>2016</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12</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31</w:t>
            </w:r>
            <w:r w:rsidRPr="00A214B0">
              <w:rPr>
                <w:rFonts w:ascii="Times New Roman" w:eastAsia="宋体" w:hAnsi="Times New Roman" w:cs="Times New Roman"/>
                <w:b/>
                <w:color w:val="000000" w:themeColor="text1"/>
                <w:w w:val="97"/>
                <w:kern w:val="0"/>
                <w:sz w:val="18"/>
                <w:szCs w:val="18"/>
              </w:rPr>
              <w:t>日</w:t>
            </w:r>
          </w:p>
        </w:tc>
        <w:tc>
          <w:tcPr>
            <w:tcW w:w="171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color w:val="000000" w:themeColor="text1"/>
                <w:w w:val="97"/>
                <w:kern w:val="0"/>
                <w:sz w:val="18"/>
                <w:szCs w:val="18"/>
              </w:rPr>
            </w:pPr>
            <w:r w:rsidRPr="00A214B0">
              <w:rPr>
                <w:rFonts w:ascii="Times New Roman" w:eastAsia="宋体" w:hAnsi="Times New Roman" w:cs="Times New Roman"/>
                <w:b/>
                <w:color w:val="000000" w:themeColor="text1"/>
                <w:w w:val="97"/>
                <w:kern w:val="0"/>
                <w:sz w:val="18"/>
                <w:szCs w:val="18"/>
              </w:rPr>
              <w:t>2017</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12</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31</w:t>
            </w:r>
            <w:r w:rsidRPr="00A214B0">
              <w:rPr>
                <w:rFonts w:ascii="Times New Roman" w:eastAsia="宋体" w:hAnsi="Times New Roman" w:cs="Times New Roman"/>
                <w:b/>
                <w:color w:val="000000" w:themeColor="text1"/>
                <w:w w:val="97"/>
                <w:kern w:val="0"/>
                <w:sz w:val="18"/>
                <w:szCs w:val="18"/>
              </w:rPr>
              <w:t>日</w:t>
            </w:r>
          </w:p>
        </w:tc>
        <w:tc>
          <w:tcPr>
            <w:tcW w:w="171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color w:val="000000" w:themeColor="text1"/>
                <w:w w:val="97"/>
                <w:kern w:val="0"/>
                <w:sz w:val="18"/>
                <w:szCs w:val="18"/>
              </w:rPr>
              <w:t>2018</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12</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31</w:t>
            </w:r>
            <w:r w:rsidRPr="00A214B0">
              <w:rPr>
                <w:rFonts w:ascii="Times New Roman" w:eastAsia="宋体" w:hAnsi="Times New Roman" w:cs="Times New Roman"/>
                <w:b/>
                <w:color w:val="000000" w:themeColor="text1"/>
                <w:w w:val="97"/>
                <w:kern w:val="0"/>
                <w:sz w:val="18"/>
                <w:szCs w:val="18"/>
              </w:rPr>
              <w:t>日</w:t>
            </w:r>
          </w:p>
        </w:tc>
        <w:tc>
          <w:tcPr>
            <w:tcW w:w="1562" w:type="dxa"/>
            <w:tcBorders>
              <w:top w:val="single" w:sz="4" w:space="0" w:color="auto"/>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eastAsia="宋体" w:hAnsi="Times New Roman" w:cs="Times New Roman"/>
                <w:b/>
                <w:color w:val="000000" w:themeColor="text1"/>
                <w:w w:val="97"/>
                <w:kern w:val="0"/>
                <w:sz w:val="18"/>
                <w:szCs w:val="18"/>
              </w:rPr>
            </w:pPr>
            <w:r w:rsidRPr="00A214B0">
              <w:rPr>
                <w:rFonts w:ascii="Times New Roman" w:eastAsia="宋体" w:hAnsi="Times New Roman" w:cs="Times New Roman"/>
                <w:b/>
                <w:color w:val="000000" w:themeColor="text1"/>
                <w:w w:val="97"/>
                <w:kern w:val="0"/>
                <w:sz w:val="18"/>
                <w:szCs w:val="18"/>
              </w:rPr>
              <w:t>2019</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4</w:t>
            </w:r>
            <w:r w:rsidRPr="00A214B0">
              <w:rPr>
                <w:rFonts w:ascii="Times New Roman" w:eastAsia="宋体" w:hAnsi="Times New Roman" w:cs="Times New Roman"/>
                <w:b/>
                <w:color w:val="000000" w:themeColor="text1"/>
                <w:w w:val="97"/>
                <w:kern w:val="0"/>
                <w:sz w:val="18"/>
                <w:szCs w:val="18"/>
              </w:rPr>
              <w:t>月</w:t>
            </w:r>
            <w:r w:rsidRPr="00A214B0">
              <w:rPr>
                <w:rFonts w:ascii="Times New Roman" w:eastAsia="宋体" w:hAnsi="Times New Roman" w:cs="Times New Roman"/>
                <w:b/>
                <w:color w:val="000000" w:themeColor="text1"/>
                <w:w w:val="97"/>
                <w:kern w:val="0"/>
                <w:sz w:val="18"/>
                <w:szCs w:val="18"/>
              </w:rPr>
              <w:t>30</w:t>
            </w:r>
            <w:r w:rsidRPr="00A214B0">
              <w:rPr>
                <w:rFonts w:ascii="Times New Roman" w:eastAsia="宋体" w:hAnsi="Times New Roman" w:cs="Times New Roman"/>
                <w:b/>
                <w:color w:val="000000" w:themeColor="text1"/>
                <w:w w:val="97"/>
                <w:kern w:val="0"/>
                <w:sz w:val="18"/>
                <w:szCs w:val="18"/>
              </w:rPr>
              <w:t>日</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w:t>
            </w: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总资产</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 xml:space="preserve"> 598,295.53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599,641.67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591,714.18 </w:t>
            </w:r>
          </w:p>
        </w:tc>
        <w:tc>
          <w:tcPr>
            <w:tcW w:w="1562" w:type="dxa"/>
            <w:tcBorders>
              <w:top w:val="nil"/>
              <w:left w:val="nil"/>
              <w:bottom w:val="single" w:sz="4" w:space="0" w:color="auto"/>
              <w:right w:val="single" w:sz="4" w:space="0" w:color="auto"/>
            </w:tcBorders>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595,714.18 </w:t>
            </w:r>
          </w:p>
        </w:tc>
      </w:tr>
      <w:tr w:rsidR="00D56508" w:rsidRPr="00A214B0">
        <w:trPr>
          <w:trHeight w:val="234"/>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w:t>
            </w: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净资产</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 xml:space="preserve"> 581,176.15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591,973.04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588,737.80 </w:t>
            </w:r>
          </w:p>
        </w:tc>
        <w:tc>
          <w:tcPr>
            <w:tcW w:w="1562" w:type="dxa"/>
            <w:tcBorders>
              <w:top w:val="nil"/>
              <w:left w:val="nil"/>
              <w:bottom w:val="single" w:sz="4" w:space="0" w:color="auto"/>
              <w:right w:val="single" w:sz="4" w:space="0" w:color="auto"/>
            </w:tcBorders>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588,737.80 </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adjustRightInd w:val="0"/>
              <w:snapToGrid w:val="0"/>
              <w:spacing w:line="320" w:lineRule="exact"/>
              <w:jc w:val="center"/>
              <w:rPr>
                <w:rFonts w:ascii="Times New Roman" w:eastAsia="宋体" w:hAnsi="Times New Roman" w:cs="Times New Roman"/>
                <w:color w:val="000000" w:themeColor="text1"/>
                <w:kern w:val="0"/>
                <w:sz w:val="18"/>
                <w:szCs w:val="18"/>
              </w:rPr>
            </w:pP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项目</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2016</w:t>
            </w:r>
            <w:r w:rsidRPr="00A214B0">
              <w:rPr>
                <w:rFonts w:ascii="Times New Roman" w:eastAsia="宋体" w:hAnsi="Times New Roman" w:cs="Times New Roman"/>
                <w:b/>
                <w:bCs/>
                <w:color w:val="000000" w:themeColor="text1"/>
                <w:kern w:val="0"/>
                <w:sz w:val="18"/>
                <w:szCs w:val="18"/>
              </w:rPr>
              <w:t>年度</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2017</w:t>
            </w:r>
            <w:r w:rsidRPr="00A214B0">
              <w:rPr>
                <w:rFonts w:ascii="Times New Roman" w:eastAsia="宋体" w:hAnsi="Times New Roman" w:cs="Times New Roman"/>
                <w:b/>
                <w:bCs/>
                <w:color w:val="000000" w:themeColor="text1"/>
                <w:kern w:val="0"/>
                <w:sz w:val="18"/>
                <w:szCs w:val="18"/>
              </w:rPr>
              <w:t>年度</w:t>
            </w:r>
          </w:p>
        </w:tc>
        <w:tc>
          <w:tcPr>
            <w:tcW w:w="171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color w:val="000000" w:themeColor="text1"/>
                <w:sz w:val="18"/>
                <w:szCs w:val="18"/>
              </w:rPr>
              <w:t>2018</w:t>
            </w:r>
            <w:r w:rsidRPr="00A214B0">
              <w:rPr>
                <w:rFonts w:ascii="Times New Roman" w:eastAsia="宋体" w:hAnsi="Times New Roman" w:cs="Times New Roman"/>
                <w:b/>
                <w:bCs/>
                <w:color w:val="000000" w:themeColor="text1"/>
                <w:kern w:val="0"/>
                <w:sz w:val="18"/>
                <w:szCs w:val="18"/>
              </w:rPr>
              <w:t>年度</w:t>
            </w:r>
          </w:p>
        </w:tc>
        <w:tc>
          <w:tcPr>
            <w:tcW w:w="1562" w:type="dxa"/>
            <w:tcBorders>
              <w:top w:val="nil"/>
              <w:left w:val="nil"/>
              <w:bottom w:val="single" w:sz="4" w:space="0" w:color="auto"/>
              <w:right w:val="single" w:sz="4" w:space="0" w:color="auto"/>
            </w:tcBorders>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b/>
                <w:color w:val="000000" w:themeColor="text1"/>
                <w:w w:val="97"/>
                <w:kern w:val="0"/>
                <w:sz w:val="18"/>
                <w:szCs w:val="18"/>
              </w:rPr>
              <w:t>2019</w:t>
            </w:r>
            <w:r w:rsidRPr="00A214B0">
              <w:rPr>
                <w:rFonts w:ascii="Times New Roman" w:eastAsia="宋体" w:hAnsi="Times New Roman" w:cs="Times New Roman"/>
                <w:b/>
                <w:color w:val="000000" w:themeColor="text1"/>
                <w:w w:val="97"/>
                <w:kern w:val="0"/>
                <w:sz w:val="18"/>
                <w:szCs w:val="18"/>
              </w:rPr>
              <w:t>年</w:t>
            </w:r>
            <w:r w:rsidRPr="00A214B0">
              <w:rPr>
                <w:rFonts w:ascii="Times New Roman" w:eastAsia="宋体" w:hAnsi="Times New Roman" w:cs="Times New Roman"/>
                <w:b/>
                <w:color w:val="000000" w:themeColor="text1"/>
                <w:w w:val="97"/>
                <w:kern w:val="0"/>
                <w:sz w:val="18"/>
                <w:szCs w:val="18"/>
              </w:rPr>
              <w:t>1-4</w:t>
            </w:r>
            <w:r w:rsidRPr="00A214B0">
              <w:rPr>
                <w:rFonts w:ascii="Times New Roman" w:eastAsia="宋体" w:hAnsi="Times New Roman" w:cs="Times New Roman"/>
                <w:b/>
                <w:color w:val="000000" w:themeColor="text1"/>
                <w:w w:val="97"/>
                <w:kern w:val="0"/>
                <w:sz w:val="18"/>
                <w:szCs w:val="18"/>
              </w:rPr>
              <w:t>月</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w:t>
            </w:r>
          </w:p>
        </w:tc>
        <w:tc>
          <w:tcPr>
            <w:tcW w:w="1692" w:type="dxa"/>
            <w:tcBorders>
              <w:top w:val="nil"/>
              <w:left w:val="nil"/>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lef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营业收入</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 xml:space="preserve"> 35,000.00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30,500.00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4,000.00 </w:t>
            </w:r>
          </w:p>
        </w:tc>
        <w:tc>
          <w:tcPr>
            <w:tcW w:w="1562" w:type="dxa"/>
            <w:tcBorders>
              <w:top w:val="nil"/>
              <w:left w:val="nil"/>
              <w:bottom w:val="single" w:sz="4" w:space="0" w:color="auto"/>
              <w:right w:val="single" w:sz="4" w:space="0" w:color="auto"/>
            </w:tcBorders>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   </w:t>
            </w:r>
          </w:p>
        </w:tc>
      </w:tr>
      <w:tr w:rsidR="00D56508" w:rsidRPr="00A214B0">
        <w:trPr>
          <w:trHeight w:val="233"/>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w:t>
            </w:r>
          </w:p>
        </w:tc>
        <w:tc>
          <w:tcPr>
            <w:tcW w:w="1692" w:type="dxa"/>
            <w:tcBorders>
              <w:top w:val="nil"/>
              <w:left w:val="nil"/>
              <w:bottom w:val="single" w:sz="4" w:space="0" w:color="auto"/>
              <w:right w:val="single" w:sz="4" w:space="0" w:color="auto"/>
            </w:tcBorders>
            <w:shd w:val="clear" w:color="auto" w:fill="auto"/>
          </w:tcPr>
          <w:p w:rsidR="00D56508" w:rsidRPr="00A214B0" w:rsidRDefault="00F1265B">
            <w:pPr>
              <w:spacing w:line="320" w:lineRule="exact"/>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利润总额</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 xml:space="preserve"> 21,273.36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14,285.28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-2,820.49 </w:t>
            </w:r>
          </w:p>
        </w:tc>
        <w:tc>
          <w:tcPr>
            <w:tcW w:w="1562" w:type="dxa"/>
            <w:tcBorders>
              <w:top w:val="nil"/>
              <w:left w:val="nil"/>
              <w:bottom w:val="single" w:sz="4" w:space="0" w:color="auto"/>
              <w:right w:val="single" w:sz="4" w:space="0" w:color="auto"/>
            </w:tcBorders>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-3,130.78 </w:t>
            </w:r>
          </w:p>
        </w:tc>
      </w:tr>
      <w:tr w:rsidR="00D56508" w:rsidRPr="00A214B0">
        <w:trPr>
          <w:trHeight w:val="234"/>
        </w:trPr>
        <w:tc>
          <w:tcPr>
            <w:tcW w:w="659"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adjustRightInd w:val="0"/>
              <w:snapToGrid w:val="0"/>
              <w:spacing w:line="320" w:lineRule="exact"/>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w:t>
            </w:r>
          </w:p>
        </w:tc>
        <w:tc>
          <w:tcPr>
            <w:tcW w:w="1692" w:type="dxa"/>
            <w:tcBorders>
              <w:top w:val="nil"/>
              <w:left w:val="nil"/>
              <w:bottom w:val="single" w:sz="4" w:space="0" w:color="auto"/>
              <w:right w:val="single" w:sz="4" w:space="0" w:color="auto"/>
            </w:tcBorders>
            <w:shd w:val="clear" w:color="auto" w:fill="auto"/>
          </w:tcPr>
          <w:p w:rsidR="00D56508" w:rsidRPr="00A214B0" w:rsidRDefault="00F1265B">
            <w:pPr>
              <w:spacing w:line="320" w:lineRule="exact"/>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净利润</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20"/>
                <w:szCs w:val="20"/>
                <w:lang w:bidi="ar"/>
              </w:rPr>
              <w:t xml:space="preserve"> 19,466.87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10,796.89 </w:t>
            </w:r>
          </w:p>
        </w:tc>
        <w:tc>
          <w:tcPr>
            <w:tcW w:w="171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-3,235.24 </w:t>
            </w:r>
          </w:p>
        </w:tc>
        <w:tc>
          <w:tcPr>
            <w:tcW w:w="1562" w:type="dxa"/>
            <w:tcBorders>
              <w:top w:val="nil"/>
              <w:left w:val="nil"/>
              <w:bottom w:val="single" w:sz="4" w:space="0" w:color="auto"/>
              <w:right w:val="single" w:sz="4" w:space="0" w:color="auto"/>
            </w:tcBorders>
            <w:vAlign w:val="bottom"/>
          </w:tcPr>
          <w:p w:rsidR="00D56508" w:rsidRPr="00A214B0" w:rsidRDefault="00F1265B">
            <w:pPr>
              <w:widowControl/>
              <w:jc w:val="right"/>
              <w:textAlignment w:val="bottom"/>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20"/>
                <w:szCs w:val="20"/>
                <w:lang w:bidi="ar"/>
              </w:rPr>
              <w:t xml:space="preserve"> -3,130.78 </w:t>
            </w:r>
          </w:p>
        </w:tc>
      </w:tr>
    </w:tbl>
    <w:p w:rsidR="00D56508" w:rsidRPr="00A214B0" w:rsidRDefault="00F1265B">
      <w:pPr>
        <w:autoSpaceDE w:val="0"/>
        <w:autoSpaceDN w:val="0"/>
        <w:adjustRightInd w:val="0"/>
        <w:snapToGrid w:val="0"/>
        <w:spacing w:beforeLines="50" w:before="250" w:line="360" w:lineRule="auto"/>
        <w:ind w:firstLineChars="200" w:firstLine="480"/>
        <w:jc w:val="left"/>
        <w:textAlignment w:val="baseline"/>
        <w:rPr>
          <w:rFonts w:ascii="Times New Roman" w:hAnsi="Times New Roman" w:cs="Times New Roman"/>
          <w:color w:val="000000" w:themeColor="text1"/>
        </w:rPr>
      </w:pPr>
      <w:r w:rsidRPr="00A214B0">
        <w:rPr>
          <w:rFonts w:ascii="Times New Roman" w:hAnsi="Times New Roman" w:cs="Times New Roman"/>
          <w:color w:val="000000" w:themeColor="text1"/>
          <w:kern w:val="0"/>
          <w:sz w:val="24"/>
          <w:szCs w:val="24"/>
        </w:rPr>
        <w:t>至评估基准日，</w:t>
      </w:r>
      <w:r w:rsidRPr="00A214B0">
        <w:rPr>
          <w:rFonts w:ascii="Times New Roman" w:hAnsi="Times New Roman" w:cs="Times New Roman"/>
          <w:color w:val="000000" w:themeColor="text1"/>
          <w:sz w:val="24"/>
        </w:rPr>
        <w:t>泰州市化工产品交易市场有限公司</w:t>
      </w:r>
      <w:r w:rsidRPr="00A214B0">
        <w:rPr>
          <w:rFonts w:ascii="Times New Roman" w:hAnsi="Times New Roman" w:cs="Times New Roman"/>
          <w:color w:val="000000" w:themeColor="text1"/>
          <w:kern w:val="0"/>
          <w:sz w:val="24"/>
          <w:szCs w:val="24"/>
        </w:rPr>
        <w:t>在正常经营中。</w:t>
      </w:r>
    </w:p>
    <w:p w:rsidR="00D56508" w:rsidRPr="00A214B0" w:rsidRDefault="00F1265B">
      <w:pPr>
        <w:pStyle w:val="af8"/>
        <w:adjustRightInd w:val="0"/>
        <w:snapToGrid w:val="0"/>
        <w:spacing w:before="0" w:after="0" w:line="360" w:lineRule="auto"/>
        <w:ind w:firstLineChars="200" w:firstLine="480"/>
        <w:jc w:val="left"/>
        <w:outlineLvl w:val="2"/>
        <w:rPr>
          <w:rFonts w:ascii="Times New Roman" w:hAnsi="Times New Roman"/>
          <w:b w:val="0"/>
          <w:color w:val="000000" w:themeColor="text1"/>
          <w:kern w:val="0"/>
          <w:sz w:val="24"/>
          <w:szCs w:val="24"/>
          <w:lang w:val="en-US"/>
        </w:rPr>
      </w:pPr>
      <w:bookmarkStart w:id="61" w:name="_Toc23682"/>
      <w:r w:rsidRPr="00A214B0">
        <w:rPr>
          <w:rFonts w:ascii="Times New Roman" w:hAnsi="Times New Roman"/>
          <w:b w:val="0"/>
          <w:color w:val="000000" w:themeColor="text1"/>
          <w:kern w:val="0"/>
          <w:sz w:val="24"/>
          <w:szCs w:val="24"/>
          <w:lang w:val="en-US"/>
        </w:rPr>
        <w:t>（</w:t>
      </w:r>
      <w:r w:rsidRPr="00A214B0">
        <w:rPr>
          <w:rFonts w:ascii="Times New Roman" w:hAnsi="Times New Roman"/>
          <w:b w:val="0"/>
          <w:color w:val="000000" w:themeColor="text1"/>
          <w:kern w:val="0"/>
          <w:sz w:val="24"/>
          <w:szCs w:val="24"/>
          <w:lang w:val="en-US"/>
        </w:rPr>
        <w:t>2</w:t>
      </w:r>
      <w:r w:rsidRPr="00A214B0">
        <w:rPr>
          <w:rFonts w:ascii="Times New Roman" w:hAnsi="Times New Roman"/>
          <w:b w:val="0"/>
          <w:color w:val="000000" w:themeColor="text1"/>
          <w:kern w:val="0"/>
          <w:sz w:val="24"/>
          <w:szCs w:val="24"/>
          <w:lang w:val="en-US"/>
        </w:rPr>
        <w:t>）评估方法</w:t>
      </w:r>
      <w:bookmarkEnd w:id="61"/>
    </w:p>
    <w:p w:rsidR="00D56508" w:rsidRPr="00A214B0" w:rsidRDefault="00F1265B">
      <w:pPr>
        <w:pStyle w:val="af8"/>
        <w:adjustRightInd w:val="0"/>
        <w:snapToGrid w:val="0"/>
        <w:spacing w:before="0" w:after="0" w:line="360" w:lineRule="auto"/>
        <w:ind w:firstLineChars="200" w:firstLine="480"/>
        <w:jc w:val="left"/>
        <w:outlineLvl w:val="9"/>
        <w:rPr>
          <w:rFonts w:ascii="Times New Roman" w:hAnsi="Times New Roman"/>
          <w:b w:val="0"/>
          <w:bCs w:val="0"/>
          <w:color w:val="000000" w:themeColor="text1"/>
          <w:sz w:val="24"/>
        </w:rPr>
      </w:pPr>
      <w:bookmarkStart w:id="62" w:name="_Toc4834"/>
      <w:r w:rsidRPr="00A214B0">
        <w:rPr>
          <w:rFonts w:ascii="Times New Roman" w:hAnsi="Times New Roman"/>
          <w:b w:val="0"/>
          <w:bCs w:val="0"/>
          <w:color w:val="000000" w:themeColor="text1"/>
          <w:sz w:val="24"/>
        </w:rPr>
        <w:t>评估人员首先对各项长期股权投资形成的原因、账面值和实际状况进行了取证核实，并查阅了投资协议、董事会决议、章程和有关会计记录等，以确定长期股权投资的真实性和完整性，并在此基础上对被投资单位进行评估。根据各项长期投资的具体情况，分别采取适当的评估方法进行评估。</w:t>
      </w:r>
      <w:bookmarkEnd w:id="62"/>
    </w:p>
    <w:p w:rsidR="00D56508" w:rsidRPr="00A214B0" w:rsidRDefault="00F1265B">
      <w:pPr>
        <w:pStyle w:val="af8"/>
        <w:adjustRightInd w:val="0"/>
        <w:snapToGrid w:val="0"/>
        <w:spacing w:before="0" w:after="0" w:line="360" w:lineRule="auto"/>
        <w:ind w:firstLineChars="200" w:firstLine="480"/>
        <w:jc w:val="left"/>
        <w:outlineLvl w:val="9"/>
        <w:rPr>
          <w:rFonts w:ascii="Times New Roman" w:hAnsi="Times New Roman"/>
          <w:b w:val="0"/>
          <w:bCs w:val="0"/>
          <w:color w:val="000000" w:themeColor="text1"/>
          <w:sz w:val="24"/>
        </w:rPr>
      </w:pPr>
      <w:bookmarkStart w:id="63" w:name="_Toc7263"/>
      <w:r w:rsidRPr="00A214B0">
        <w:rPr>
          <w:rFonts w:ascii="Times New Roman" w:hAnsi="Times New Roman"/>
          <w:b w:val="0"/>
          <w:bCs w:val="0"/>
          <w:color w:val="000000" w:themeColor="text1"/>
          <w:sz w:val="24"/>
          <w:lang w:val="en-US"/>
        </w:rPr>
        <w:t>1</w:t>
      </w:r>
      <w:r w:rsidRPr="00A214B0">
        <w:rPr>
          <w:rFonts w:ascii="Times New Roman" w:hAnsi="Times New Roman"/>
          <w:b w:val="0"/>
          <w:bCs w:val="0"/>
          <w:color w:val="000000" w:themeColor="text1"/>
          <w:sz w:val="24"/>
          <w:lang w:val="en-US"/>
        </w:rPr>
        <w:t>）</w:t>
      </w:r>
      <w:bookmarkEnd w:id="63"/>
      <w:r w:rsidRPr="00A214B0">
        <w:rPr>
          <w:rFonts w:ascii="Times New Roman" w:hAnsi="Times New Roman"/>
          <w:b w:val="0"/>
          <w:bCs w:val="0"/>
          <w:color w:val="000000" w:themeColor="text1"/>
          <w:sz w:val="24"/>
        </w:rPr>
        <w:t>对于江苏海企港务有限公司，业务类型为海企仓储的配套装卸费，相应的人员费用均在海企仓储核算，并没有单独获利的能力，故不适合采用收益法评估。同时难以收集与海企仓储在经营范围、规模、地域、经营绩效等方面相同或相似的可比上市公司或者可比交易案例，也不适合采用市场法评估。江苏海企港务有限公司资产负债清晰可以量化，故采用资产基础法评估。</w:t>
      </w:r>
    </w:p>
    <w:p w:rsidR="00D56508" w:rsidRPr="00A214B0" w:rsidRDefault="00F1265B">
      <w:pPr>
        <w:pStyle w:val="af8"/>
        <w:adjustRightInd w:val="0"/>
        <w:snapToGrid w:val="0"/>
        <w:spacing w:before="0" w:after="0" w:line="360" w:lineRule="auto"/>
        <w:ind w:firstLineChars="200" w:firstLine="480"/>
        <w:jc w:val="left"/>
        <w:outlineLvl w:val="9"/>
        <w:rPr>
          <w:rFonts w:ascii="Times New Roman" w:hAnsi="Times New Roman"/>
          <w:b w:val="0"/>
          <w:bCs w:val="0"/>
          <w:color w:val="000000" w:themeColor="text1"/>
          <w:sz w:val="24"/>
        </w:rPr>
      </w:pPr>
      <w:bookmarkStart w:id="64" w:name="_Toc18169"/>
      <w:r w:rsidRPr="00A214B0">
        <w:rPr>
          <w:rFonts w:ascii="Times New Roman" w:hAnsi="Times New Roman"/>
          <w:b w:val="0"/>
          <w:bCs w:val="0"/>
          <w:color w:val="000000" w:themeColor="text1"/>
          <w:sz w:val="24"/>
        </w:rPr>
        <w:t>评估的详细情况见长期投资单位：江苏海企港务有限公司评估说明。</w:t>
      </w:r>
      <w:bookmarkEnd w:id="64"/>
    </w:p>
    <w:p w:rsidR="00D56508" w:rsidRPr="00A214B0" w:rsidRDefault="00F1265B">
      <w:pPr>
        <w:pStyle w:val="af8"/>
        <w:adjustRightInd w:val="0"/>
        <w:snapToGrid w:val="0"/>
        <w:spacing w:before="0" w:after="0" w:line="360" w:lineRule="auto"/>
        <w:ind w:firstLineChars="200" w:firstLine="480"/>
        <w:jc w:val="left"/>
        <w:outlineLvl w:val="9"/>
        <w:rPr>
          <w:rFonts w:ascii="Times New Roman" w:hAnsi="Times New Roman"/>
          <w:b w:val="0"/>
          <w:bCs w:val="0"/>
          <w:color w:val="000000" w:themeColor="text1"/>
          <w:sz w:val="24"/>
        </w:rPr>
      </w:pPr>
      <w:bookmarkStart w:id="65" w:name="_Toc16095"/>
      <w:r w:rsidRPr="00A214B0">
        <w:rPr>
          <w:rFonts w:ascii="Times New Roman" w:hAnsi="Times New Roman"/>
          <w:b w:val="0"/>
          <w:bCs w:val="0"/>
          <w:color w:val="000000" w:themeColor="text1"/>
          <w:sz w:val="24"/>
          <w:lang w:val="en-US"/>
        </w:rPr>
        <w:t>2</w:t>
      </w:r>
      <w:r w:rsidRPr="00A214B0">
        <w:rPr>
          <w:rFonts w:ascii="Times New Roman" w:hAnsi="Times New Roman"/>
          <w:b w:val="0"/>
          <w:bCs w:val="0"/>
          <w:color w:val="000000" w:themeColor="text1"/>
          <w:sz w:val="24"/>
          <w:lang w:val="en-US"/>
        </w:rPr>
        <w:t>）</w:t>
      </w:r>
      <w:bookmarkEnd w:id="65"/>
      <w:r w:rsidRPr="00A214B0">
        <w:rPr>
          <w:rFonts w:ascii="Times New Roman" w:hAnsi="Times New Roman"/>
          <w:b w:val="0"/>
          <w:bCs w:val="0"/>
          <w:color w:val="000000" w:themeColor="text1"/>
          <w:sz w:val="24"/>
        </w:rPr>
        <w:t>对于泰州市化工产品交易市场有限公司，由于海企仓储对其是参股，没有控制权，无法打开评估，故长期股权投资评估值按持股比例乘以基准日账面净资产确定。</w:t>
      </w:r>
    </w:p>
    <w:p w:rsidR="00D56508" w:rsidRPr="00A214B0" w:rsidRDefault="00F1265B">
      <w:pPr>
        <w:pStyle w:val="af8"/>
        <w:adjustRightInd w:val="0"/>
        <w:snapToGrid w:val="0"/>
        <w:spacing w:before="0" w:after="0" w:line="360" w:lineRule="auto"/>
        <w:ind w:leftChars="200" w:left="420"/>
        <w:jc w:val="left"/>
        <w:outlineLvl w:val="2"/>
        <w:rPr>
          <w:rFonts w:ascii="Times New Roman" w:hAnsi="Times New Roman"/>
          <w:b w:val="0"/>
          <w:color w:val="000000" w:themeColor="text1"/>
          <w:kern w:val="0"/>
          <w:sz w:val="24"/>
          <w:szCs w:val="24"/>
          <w:lang w:val="en-US"/>
        </w:rPr>
      </w:pPr>
      <w:bookmarkStart w:id="66" w:name="_Toc18810"/>
      <w:r w:rsidRPr="00A214B0">
        <w:rPr>
          <w:rFonts w:ascii="Times New Roman" w:hAnsi="Times New Roman"/>
          <w:b w:val="0"/>
          <w:color w:val="000000" w:themeColor="text1"/>
          <w:kern w:val="0"/>
          <w:sz w:val="24"/>
          <w:szCs w:val="24"/>
          <w:lang w:val="en-US"/>
        </w:rPr>
        <w:t>（</w:t>
      </w:r>
      <w:r w:rsidRPr="00A214B0">
        <w:rPr>
          <w:rFonts w:ascii="Times New Roman" w:hAnsi="Times New Roman"/>
          <w:b w:val="0"/>
          <w:color w:val="000000" w:themeColor="text1"/>
          <w:kern w:val="0"/>
          <w:sz w:val="24"/>
          <w:szCs w:val="24"/>
          <w:lang w:val="en-US"/>
        </w:rPr>
        <w:t>3</w:t>
      </w:r>
      <w:r w:rsidRPr="00A214B0">
        <w:rPr>
          <w:rFonts w:ascii="Times New Roman" w:hAnsi="Times New Roman"/>
          <w:b w:val="0"/>
          <w:color w:val="000000" w:themeColor="text1"/>
          <w:kern w:val="0"/>
          <w:sz w:val="24"/>
          <w:szCs w:val="24"/>
          <w:lang w:val="en-US"/>
        </w:rPr>
        <w:t>）评估结果</w:t>
      </w:r>
      <w:bookmarkEnd w:id="66"/>
    </w:p>
    <w:tbl>
      <w:tblPr>
        <w:tblW w:w="9049" w:type="dxa"/>
        <w:jc w:val="center"/>
        <w:tblLayout w:type="fixed"/>
        <w:tblLook w:val="04A0" w:firstRow="1" w:lastRow="0" w:firstColumn="1" w:lastColumn="0" w:noHBand="0" w:noVBand="1"/>
      </w:tblPr>
      <w:tblGrid>
        <w:gridCol w:w="671"/>
        <w:gridCol w:w="3070"/>
        <w:gridCol w:w="1227"/>
        <w:gridCol w:w="1404"/>
        <w:gridCol w:w="1562"/>
        <w:gridCol w:w="1115"/>
      </w:tblGrid>
      <w:tr w:rsidR="00D56508" w:rsidRPr="00A214B0">
        <w:trPr>
          <w:trHeight w:val="465"/>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序号</w:t>
            </w:r>
          </w:p>
        </w:tc>
        <w:tc>
          <w:tcPr>
            <w:tcW w:w="307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被投资单位名称</w:t>
            </w:r>
          </w:p>
        </w:tc>
        <w:tc>
          <w:tcPr>
            <w:tcW w:w="122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投资比例</w:t>
            </w:r>
            <w:r w:rsidRPr="00A214B0">
              <w:rPr>
                <w:rFonts w:ascii="Times New Roman" w:hAnsi="Times New Roman" w:cs="Times New Roman"/>
                <w:b/>
                <w:bCs/>
                <w:color w:val="000000" w:themeColor="text1"/>
                <w:sz w:val="18"/>
                <w:szCs w:val="18"/>
              </w:rPr>
              <w:t>%</w:t>
            </w:r>
          </w:p>
        </w:tc>
        <w:tc>
          <w:tcPr>
            <w:tcW w:w="140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账面价值</w:t>
            </w:r>
          </w:p>
        </w:tc>
        <w:tc>
          <w:tcPr>
            <w:tcW w:w="156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评估价值</w:t>
            </w:r>
          </w:p>
        </w:tc>
        <w:tc>
          <w:tcPr>
            <w:tcW w:w="1115"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增值率</w:t>
            </w:r>
            <w:r w:rsidRPr="00A214B0">
              <w:rPr>
                <w:rFonts w:ascii="Times New Roman" w:hAnsi="Times New Roman" w:cs="Times New Roman"/>
                <w:b/>
                <w:bCs/>
                <w:color w:val="000000" w:themeColor="text1"/>
                <w:sz w:val="18"/>
                <w:szCs w:val="18"/>
              </w:rPr>
              <w:t>%</w:t>
            </w:r>
          </w:p>
        </w:tc>
      </w:tr>
      <w:tr w:rsidR="00D56508" w:rsidRPr="00A214B0">
        <w:trPr>
          <w:trHeight w:val="330"/>
          <w:jc w:val="center"/>
        </w:trPr>
        <w:tc>
          <w:tcPr>
            <w:tcW w:w="671"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3070"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泰州市化工产品交易市场有限公司</w:t>
            </w:r>
          </w:p>
        </w:tc>
        <w:tc>
          <w:tcPr>
            <w:tcW w:w="1227"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25</w:t>
            </w:r>
          </w:p>
        </w:tc>
        <w:tc>
          <w:tcPr>
            <w:tcW w:w="1404"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146,401.75 </w:t>
            </w:r>
          </w:p>
        </w:tc>
        <w:tc>
          <w:tcPr>
            <w:tcW w:w="1562"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147,145.85 </w:t>
            </w:r>
          </w:p>
        </w:tc>
        <w:tc>
          <w:tcPr>
            <w:tcW w:w="1115"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0.01 </w:t>
            </w:r>
          </w:p>
        </w:tc>
      </w:tr>
      <w:tr w:rsidR="00D56508" w:rsidRPr="00A214B0">
        <w:trPr>
          <w:trHeight w:val="330"/>
          <w:jc w:val="center"/>
        </w:trPr>
        <w:tc>
          <w:tcPr>
            <w:tcW w:w="671"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3070" w:type="dxa"/>
            <w:tcBorders>
              <w:top w:val="nil"/>
              <w:left w:val="nil"/>
              <w:bottom w:val="single" w:sz="4" w:space="0" w:color="auto"/>
              <w:right w:val="single" w:sz="4" w:space="0" w:color="auto"/>
            </w:tcBorders>
            <w:shd w:val="clear" w:color="auto" w:fill="auto"/>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江苏海企港务有限公司</w:t>
            </w:r>
          </w:p>
        </w:tc>
        <w:tc>
          <w:tcPr>
            <w:tcW w:w="1227"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100</w:t>
            </w:r>
          </w:p>
        </w:tc>
        <w:tc>
          <w:tcPr>
            <w:tcW w:w="1404"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38,199,412.37 </w:t>
            </w:r>
          </w:p>
        </w:tc>
        <w:tc>
          <w:tcPr>
            <w:tcW w:w="1562"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 xml:space="preserve"> 43,977,739.52 </w:t>
            </w:r>
            <w:r w:rsidRPr="00A214B0">
              <w:rPr>
                <w:rFonts w:ascii="Times New Roman" w:hAnsi="Times New Roman" w:cs="Times New Roman"/>
                <w:color w:val="000000" w:themeColor="text1"/>
                <w:sz w:val="18"/>
                <w:szCs w:val="18"/>
              </w:rPr>
              <w:t xml:space="preserve"> </w:t>
            </w:r>
          </w:p>
        </w:tc>
        <w:tc>
          <w:tcPr>
            <w:tcW w:w="1115"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0.15 </w:t>
            </w:r>
          </w:p>
        </w:tc>
      </w:tr>
      <w:tr w:rsidR="00D56508" w:rsidRPr="00A214B0">
        <w:trPr>
          <w:trHeight w:val="330"/>
          <w:jc w:val="center"/>
        </w:trPr>
        <w:tc>
          <w:tcPr>
            <w:tcW w:w="3741" w:type="dxa"/>
            <w:gridSpan w:val="2"/>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合</w:t>
            </w:r>
            <w:r w:rsidRPr="00A214B0">
              <w:rPr>
                <w:rFonts w:ascii="Times New Roman" w:hAnsi="Times New Roman" w:cs="Times New Roman"/>
                <w:b/>
                <w:color w:val="000000" w:themeColor="text1"/>
                <w:sz w:val="18"/>
                <w:szCs w:val="18"/>
              </w:rPr>
              <w:t xml:space="preserve"> </w:t>
            </w:r>
            <w:r w:rsidRPr="00A214B0">
              <w:rPr>
                <w:rFonts w:ascii="Times New Roman" w:hAnsi="Times New Roman" w:cs="Times New Roman"/>
                <w:b/>
                <w:color w:val="000000" w:themeColor="text1"/>
                <w:sz w:val="18"/>
                <w:szCs w:val="18"/>
              </w:rPr>
              <w:t>计</w:t>
            </w:r>
          </w:p>
        </w:tc>
        <w:tc>
          <w:tcPr>
            <w:tcW w:w="1227" w:type="dxa"/>
            <w:tcBorders>
              <w:top w:val="nil"/>
              <w:left w:val="nil"/>
              <w:bottom w:val="single" w:sz="4" w:space="0" w:color="auto"/>
              <w:right w:val="single" w:sz="4" w:space="0" w:color="auto"/>
            </w:tcBorders>
            <w:shd w:val="clear" w:color="auto" w:fill="auto"/>
            <w:vAlign w:val="center"/>
          </w:tcPr>
          <w:p w:rsidR="00D56508" w:rsidRPr="00A214B0" w:rsidRDefault="00D56508">
            <w:pPr>
              <w:jc w:val="center"/>
              <w:rPr>
                <w:rFonts w:ascii="Times New Roman" w:hAnsi="Times New Roman" w:cs="Times New Roman"/>
                <w:b/>
                <w:color w:val="000000" w:themeColor="text1"/>
                <w:sz w:val="18"/>
                <w:szCs w:val="18"/>
              </w:rPr>
            </w:pPr>
          </w:p>
        </w:tc>
        <w:tc>
          <w:tcPr>
            <w:tcW w:w="1404"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38,345,814.12 </w:t>
            </w:r>
          </w:p>
        </w:tc>
        <w:tc>
          <w:tcPr>
            <w:tcW w:w="1562"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 xml:space="preserve"> 44,124,885.37 </w:t>
            </w:r>
            <w:r w:rsidRPr="00A214B0">
              <w:rPr>
                <w:rFonts w:ascii="Times New Roman" w:hAnsi="Times New Roman" w:cs="Times New Roman"/>
                <w:color w:val="000000" w:themeColor="text1"/>
                <w:sz w:val="18"/>
                <w:szCs w:val="18"/>
              </w:rPr>
              <w:t xml:space="preserve"> </w:t>
            </w:r>
          </w:p>
        </w:tc>
        <w:tc>
          <w:tcPr>
            <w:tcW w:w="1115" w:type="dxa"/>
            <w:tcBorders>
              <w:top w:val="nil"/>
              <w:left w:val="nil"/>
              <w:bottom w:val="single" w:sz="4" w:space="0" w:color="auto"/>
              <w:right w:val="single" w:sz="4" w:space="0" w:color="auto"/>
            </w:tcBorders>
            <w:shd w:val="clear" w:color="auto" w:fill="auto"/>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15.07 </w:t>
            </w:r>
          </w:p>
        </w:tc>
      </w:tr>
    </w:tbl>
    <w:p w:rsidR="00D56508" w:rsidRPr="00A214B0" w:rsidRDefault="00F1265B">
      <w:pPr>
        <w:pStyle w:val="20"/>
        <w:numPr>
          <w:ilvl w:val="255"/>
          <w:numId w:val="0"/>
        </w:numPr>
        <w:spacing w:beforeLines="50" w:before="250"/>
        <w:ind w:firstLineChars="200" w:firstLine="480"/>
        <w:rPr>
          <w:rFonts w:ascii="Times New Roman" w:hAnsi="Times New Roman"/>
          <w:color w:val="000000" w:themeColor="text1"/>
        </w:rPr>
      </w:pPr>
      <w:bookmarkStart w:id="67" w:name="_Toc29489"/>
      <w:r w:rsidRPr="00A214B0">
        <w:rPr>
          <w:rFonts w:ascii="Times New Roman" w:hAnsi="Times New Roman"/>
          <w:color w:val="000000" w:themeColor="text1"/>
        </w:rPr>
        <w:t>（二）固定资产</w:t>
      </w:r>
      <w:r w:rsidRPr="00A214B0">
        <w:rPr>
          <w:rFonts w:ascii="Times New Roman" w:hAnsi="Times New Roman"/>
          <w:color w:val="000000" w:themeColor="text1"/>
        </w:rPr>
        <w:t>-</w:t>
      </w:r>
      <w:r w:rsidRPr="00A214B0">
        <w:rPr>
          <w:rFonts w:ascii="Times New Roman" w:hAnsi="Times New Roman"/>
          <w:color w:val="000000" w:themeColor="text1"/>
        </w:rPr>
        <w:t>房屋建筑物类评估说明</w:t>
      </w:r>
      <w:bookmarkEnd w:id="67"/>
    </w:p>
    <w:p w:rsidR="00D56508" w:rsidRPr="00A214B0" w:rsidRDefault="00F1265B">
      <w:pPr>
        <w:tabs>
          <w:tab w:val="left" w:pos="2552"/>
        </w:tabs>
        <w:autoSpaceDE w:val="0"/>
        <w:autoSpaceDN w:val="0"/>
        <w:ind w:firstLineChars="200" w:firstLine="480"/>
        <w:jc w:val="left"/>
        <w:textAlignment w:val="bottom"/>
        <w:outlineLvl w:val="2"/>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rPr>
        <w:t xml:space="preserve">1. </w:t>
      </w:r>
      <w:r w:rsidRPr="00A214B0">
        <w:rPr>
          <w:rFonts w:ascii="Times New Roman" w:eastAsia="宋体" w:hAnsi="Times New Roman" w:cs="Times New Roman"/>
          <w:color w:val="000000" w:themeColor="text1"/>
          <w:sz w:val="24"/>
          <w:szCs w:val="24"/>
        </w:rPr>
        <w:t>房屋建筑物概况</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评估基准日，评估范围内的房屋建筑物</w:t>
      </w:r>
      <w:r w:rsidRPr="00A214B0">
        <w:rPr>
          <w:rFonts w:ascii="Times New Roman" w:eastAsia="宋体" w:hAnsi="Times New Roman" w:cs="Times New Roman"/>
          <w:color w:val="000000" w:themeColor="text1"/>
          <w:sz w:val="24"/>
          <w:szCs w:val="24"/>
        </w:rPr>
        <w:t>13</w:t>
      </w:r>
      <w:r w:rsidRPr="00A214B0">
        <w:rPr>
          <w:rFonts w:ascii="Times New Roman" w:eastAsia="宋体" w:hAnsi="Times New Roman" w:cs="Times New Roman"/>
          <w:color w:val="000000" w:themeColor="text1"/>
          <w:sz w:val="24"/>
          <w:szCs w:val="24"/>
        </w:rPr>
        <w:t>项，包括行政办公楼、生活楼、综合楼等，位于江苏省泰州市高港区永安洲镇疏港一路</w:t>
      </w: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号，分布于一期和二期厂区内，建于</w:t>
      </w:r>
      <w:r w:rsidRPr="00A214B0">
        <w:rPr>
          <w:rFonts w:ascii="Times New Roman" w:eastAsia="宋体" w:hAnsi="Times New Roman" w:cs="Times New Roman"/>
          <w:color w:val="000000" w:themeColor="text1"/>
          <w:sz w:val="24"/>
          <w:szCs w:val="24"/>
        </w:rPr>
        <w:t>2008</w:t>
      </w:r>
      <w:r w:rsidRPr="00A214B0">
        <w:rPr>
          <w:rFonts w:ascii="Times New Roman" w:eastAsia="宋体" w:hAnsi="Times New Roman" w:cs="Times New Roman"/>
          <w:color w:val="000000" w:themeColor="text1"/>
          <w:sz w:val="24"/>
          <w:szCs w:val="24"/>
        </w:rPr>
        <w:t>年至</w:t>
      </w:r>
      <w:r w:rsidRPr="00A214B0">
        <w:rPr>
          <w:rFonts w:ascii="Times New Roman" w:eastAsia="宋体" w:hAnsi="Times New Roman" w:cs="Times New Roman"/>
          <w:color w:val="000000" w:themeColor="text1"/>
          <w:sz w:val="24"/>
          <w:szCs w:val="24"/>
        </w:rPr>
        <w:t>2017</w:t>
      </w:r>
      <w:r w:rsidRPr="00A214B0">
        <w:rPr>
          <w:rFonts w:ascii="Times New Roman" w:eastAsia="宋体" w:hAnsi="Times New Roman" w:cs="Times New Roman"/>
          <w:color w:val="000000" w:themeColor="text1"/>
          <w:sz w:val="24"/>
          <w:szCs w:val="24"/>
        </w:rPr>
        <w:t>年期间，主要为框架、混合结构，总建筑面积</w:t>
      </w:r>
      <w:r w:rsidRPr="00A214B0">
        <w:rPr>
          <w:rFonts w:ascii="Times New Roman" w:eastAsia="宋体" w:hAnsi="Times New Roman" w:cs="Times New Roman"/>
          <w:color w:val="000000" w:themeColor="text1"/>
          <w:sz w:val="24"/>
          <w:szCs w:val="24"/>
        </w:rPr>
        <w:t>5,011.89</w:t>
      </w:r>
      <w:r w:rsidRPr="00A214B0">
        <w:rPr>
          <w:rFonts w:ascii="Times New Roman" w:eastAsia="宋体" w:hAnsi="Times New Roman" w:cs="Times New Roman"/>
          <w:color w:val="000000" w:themeColor="text1"/>
          <w:sz w:val="24"/>
          <w:szCs w:val="24"/>
        </w:rPr>
        <w:t>平方米。委估房屋中取得不动产权证的共计</w:t>
      </w: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项，面积</w:t>
      </w:r>
      <w:r w:rsidRPr="00A214B0">
        <w:rPr>
          <w:rFonts w:ascii="Times New Roman" w:eastAsia="宋体" w:hAnsi="Times New Roman" w:cs="Times New Roman"/>
          <w:color w:val="000000" w:themeColor="text1"/>
          <w:sz w:val="24"/>
          <w:szCs w:val="24"/>
        </w:rPr>
        <w:t>1,345.57</w:t>
      </w:r>
      <w:r w:rsidRPr="00A214B0">
        <w:rPr>
          <w:rFonts w:ascii="Times New Roman" w:eastAsia="宋体" w:hAnsi="Times New Roman" w:cs="Times New Roman"/>
          <w:color w:val="000000" w:themeColor="text1"/>
          <w:sz w:val="24"/>
          <w:szCs w:val="24"/>
        </w:rPr>
        <w:t>平方米。委估房屋中有</w:t>
      </w: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项房屋取得了建设工程规划许可证，面积</w:t>
      </w:r>
      <w:r w:rsidRPr="00A214B0">
        <w:rPr>
          <w:rFonts w:ascii="Times New Roman" w:eastAsia="宋体" w:hAnsi="Times New Roman" w:cs="Times New Roman"/>
          <w:color w:val="000000" w:themeColor="text1"/>
          <w:sz w:val="24"/>
          <w:szCs w:val="24"/>
        </w:rPr>
        <w:t>2,660.00</w:t>
      </w:r>
      <w:r w:rsidRPr="00A214B0">
        <w:rPr>
          <w:rFonts w:ascii="Times New Roman" w:eastAsia="宋体" w:hAnsi="Times New Roman" w:cs="Times New Roman"/>
          <w:color w:val="000000" w:themeColor="text1"/>
          <w:sz w:val="24"/>
          <w:szCs w:val="24"/>
        </w:rPr>
        <w:t>平方米。其他房屋未取得不动产权证或建设工程规划许可证。</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房屋权属具体情况详见下表：</w:t>
      </w:r>
    </w:p>
    <w:tbl>
      <w:tblPr>
        <w:tblW w:w="9049" w:type="dxa"/>
        <w:tblLayout w:type="fixed"/>
        <w:tblLook w:val="04A0" w:firstRow="1" w:lastRow="0" w:firstColumn="1" w:lastColumn="0" w:noHBand="0" w:noVBand="1"/>
      </w:tblPr>
      <w:tblGrid>
        <w:gridCol w:w="670"/>
        <w:gridCol w:w="1750"/>
        <w:gridCol w:w="2301"/>
        <w:gridCol w:w="914"/>
        <w:gridCol w:w="737"/>
        <w:gridCol w:w="1406"/>
        <w:gridCol w:w="1271"/>
      </w:tblGrid>
      <w:tr w:rsidR="00D56508" w:rsidRPr="00A214B0">
        <w:trPr>
          <w:trHeight w:val="500"/>
          <w:tblHeader/>
        </w:trPr>
        <w:tc>
          <w:tcPr>
            <w:tcW w:w="670" w:type="dxa"/>
            <w:vMerge w:val="restart"/>
            <w:tcBorders>
              <w:top w:val="single" w:sz="4" w:space="0" w:color="auto"/>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序号</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权证编号</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建筑物名称</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结构</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总层数</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建成</w:t>
            </w:r>
            <w:r w:rsidRPr="00A214B0">
              <w:rPr>
                <w:rFonts w:ascii="Times New Roman" w:hAnsi="Times New Roman" w:cs="Times New Roman"/>
                <w:b/>
                <w:bCs/>
                <w:color w:val="000000" w:themeColor="text1"/>
                <w:kern w:val="0"/>
                <w:sz w:val="18"/>
                <w:szCs w:val="18"/>
              </w:rPr>
              <w:br/>
            </w:r>
            <w:r w:rsidRPr="00A214B0">
              <w:rPr>
                <w:rFonts w:ascii="Times New Roman" w:hAnsi="Times New Roman" w:cs="Times New Roman"/>
                <w:b/>
                <w:bCs/>
                <w:color w:val="000000" w:themeColor="text1"/>
                <w:kern w:val="0"/>
                <w:sz w:val="18"/>
                <w:szCs w:val="18"/>
              </w:rPr>
              <w:t>年月</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建筑面积（平方米）</w:t>
            </w:r>
            <w:r w:rsidRPr="00A214B0">
              <w:rPr>
                <w:rFonts w:ascii="Times New Roman" w:hAnsi="Times New Roman" w:cs="Times New Roman"/>
                <w:b/>
                <w:bCs/>
                <w:color w:val="000000" w:themeColor="text1"/>
                <w:kern w:val="0"/>
                <w:sz w:val="18"/>
                <w:szCs w:val="18"/>
              </w:rPr>
              <w:t xml:space="preserve"> </w:t>
            </w:r>
          </w:p>
        </w:tc>
      </w:tr>
      <w:tr w:rsidR="00D56508" w:rsidRPr="00A214B0">
        <w:trPr>
          <w:trHeight w:val="500"/>
          <w:tblHeader/>
        </w:trPr>
        <w:tc>
          <w:tcPr>
            <w:tcW w:w="670"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建设工程规划许可证：建字第</w:t>
            </w:r>
            <w:r w:rsidRPr="00A214B0">
              <w:rPr>
                <w:rFonts w:ascii="Times New Roman" w:hAnsi="Times New Roman" w:cs="Times New Roman"/>
                <w:color w:val="000000" w:themeColor="text1"/>
                <w:kern w:val="0"/>
                <w:sz w:val="18"/>
                <w:szCs w:val="18"/>
              </w:rPr>
              <w:t>321200201420010</w:t>
            </w:r>
            <w:r w:rsidRPr="00A214B0">
              <w:rPr>
                <w:rFonts w:ascii="Times New Roman" w:hAnsi="Times New Roman" w:cs="Times New Roman"/>
                <w:color w:val="000000" w:themeColor="text1"/>
                <w:kern w:val="0"/>
                <w:sz w:val="18"/>
                <w:szCs w:val="18"/>
              </w:rPr>
              <w:t>号（补办）</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行政办公楼</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1670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建设工程规划许可证：建字第</w:t>
            </w:r>
            <w:r w:rsidRPr="00A214B0">
              <w:rPr>
                <w:rFonts w:ascii="Times New Roman" w:hAnsi="Times New Roman" w:cs="Times New Roman"/>
                <w:color w:val="000000" w:themeColor="text1"/>
                <w:kern w:val="0"/>
                <w:sz w:val="18"/>
                <w:szCs w:val="18"/>
              </w:rPr>
              <w:t>321200201420010</w:t>
            </w:r>
            <w:r w:rsidRPr="00A214B0">
              <w:rPr>
                <w:rFonts w:ascii="Times New Roman" w:hAnsi="Times New Roman" w:cs="Times New Roman"/>
                <w:color w:val="000000" w:themeColor="text1"/>
                <w:kern w:val="0"/>
                <w:sz w:val="18"/>
                <w:szCs w:val="18"/>
              </w:rPr>
              <w:t>号（补办）</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生活楼</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990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苏（</w:t>
            </w:r>
            <w:r w:rsidRPr="00A214B0">
              <w:rPr>
                <w:rFonts w:ascii="Times New Roman" w:hAnsi="Times New Roman" w:cs="Times New Roman"/>
                <w:color w:val="000000" w:themeColor="text1"/>
                <w:kern w:val="0"/>
                <w:sz w:val="18"/>
                <w:szCs w:val="18"/>
              </w:rPr>
              <w:t>2017</w:t>
            </w:r>
            <w:r w:rsidRPr="00A214B0">
              <w:rPr>
                <w:rFonts w:ascii="Times New Roman" w:hAnsi="Times New Roman" w:cs="Times New Roman"/>
                <w:color w:val="000000" w:themeColor="text1"/>
                <w:kern w:val="0"/>
                <w:sz w:val="18"/>
                <w:szCs w:val="18"/>
              </w:rPr>
              <w:t>）泰州不动产权第</w:t>
            </w:r>
            <w:r w:rsidRPr="00A214B0">
              <w:rPr>
                <w:rFonts w:ascii="Times New Roman" w:hAnsi="Times New Roman" w:cs="Times New Roman"/>
                <w:color w:val="000000" w:themeColor="text1"/>
                <w:kern w:val="0"/>
                <w:sz w:val="18"/>
                <w:szCs w:val="18"/>
              </w:rPr>
              <w:t>0026145</w:t>
            </w:r>
            <w:r w:rsidRPr="00A214B0">
              <w:rPr>
                <w:rFonts w:ascii="Times New Roman" w:hAnsi="Times New Roman" w:cs="Times New Roman"/>
                <w:color w:val="000000" w:themeColor="text1"/>
                <w:kern w:val="0"/>
                <w:sz w:val="18"/>
                <w:szCs w:val="18"/>
              </w:rPr>
              <w:t>号</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综合楼</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1025.14</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变配电站</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192.4</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门卫</w:t>
            </w:r>
            <w:r w:rsidRPr="00A214B0">
              <w:rPr>
                <w:rFonts w:ascii="Times New Roman" w:hAnsi="Times New Roman" w:cs="Times New Roman"/>
                <w:color w:val="000000" w:themeColor="text1"/>
                <w:kern w:val="0"/>
                <w:sz w:val="18"/>
                <w:szCs w:val="18"/>
              </w:rPr>
              <w:t>1</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2</w:t>
            </w:r>
            <w:r w:rsidRPr="00A214B0">
              <w:rPr>
                <w:rFonts w:ascii="Times New Roman" w:hAnsi="Times New Roman" w:cs="Times New Roman"/>
                <w:color w:val="000000" w:themeColor="text1"/>
                <w:kern w:val="0"/>
                <w:sz w:val="18"/>
                <w:szCs w:val="18"/>
              </w:rPr>
              <w:t>号门</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55.4</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地磅房</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62.32</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苏（</w:t>
            </w:r>
            <w:r w:rsidRPr="00A214B0">
              <w:rPr>
                <w:rFonts w:ascii="Times New Roman" w:hAnsi="Times New Roman" w:cs="Times New Roman"/>
                <w:color w:val="000000" w:themeColor="text1"/>
                <w:kern w:val="0"/>
                <w:sz w:val="18"/>
                <w:szCs w:val="18"/>
              </w:rPr>
              <w:t>2017</w:t>
            </w:r>
            <w:r w:rsidRPr="00A214B0">
              <w:rPr>
                <w:rFonts w:ascii="Times New Roman" w:hAnsi="Times New Roman" w:cs="Times New Roman"/>
                <w:color w:val="000000" w:themeColor="text1"/>
                <w:kern w:val="0"/>
                <w:sz w:val="18"/>
                <w:szCs w:val="18"/>
              </w:rPr>
              <w:t>）泰州不动产权第</w:t>
            </w:r>
            <w:r w:rsidRPr="00A214B0">
              <w:rPr>
                <w:rFonts w:ascii="Times New Roman" w:hAnsi="Times New Roman" w:cs="Times New Roman"/>
                <w:color w:val="000000" w:themeColor="text1"/>
                <w:kern w:val="0"/>
                <w:sz w:val="18"/>
                <w:szCs w:val="18"/>
              </w:rPr>
              <w:t>0026145</w:t>
            </w:r>
            <w:r w:rsidRPr="00A214B0">
              <w:rPr>
                <w:rFonts w:ascii="Times New Roman" w:hAnsi="Times New Roman" w:cs="Times New Roman"/>
                <w:color w:val="000000" w:themeColor="text1"/>
                <w:kern w:val="0"/>
                <w:sz w:val="18"/>
                <w:szCs w:val="18"/>
              </w:rPr>
              <w:t>号</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空压冷冻站</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320.43</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开票大厅</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2015/3/31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180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9</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码头新增门卫用房</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2016/4/30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机修大厅</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框架</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2017/3/31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300</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11</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锅炉房</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混合</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2008/9/30</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112.5</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hAnsi="Times New Roman" w:cs="Times New Roman" w:hint="eastAsia"/>
                <w:color w:val="000000" w:themeColor="text1"/>
                <w:kern w:val="0"/>
                <w:sz w:val="18"/>
                <w:szCs w:val="18"/>
              </w:rPr>
              <w:t>12</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码头房建工程</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砖混</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2013/5/1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 xml:space="preserve">42.41 </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hAnsi="Times New Roman" w:cs="Times New Roman" w:hint="eastAsia"/>
                <w:color w:val="000000" w:themeColor="text1"/>
                <w:kern w:val="0"/>
                <w:sz w:val="18"/>
                <w:szCs w:val="18"/>
              </w:rPr>
              <w:t>13</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未办理</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COD</w:t>
            </w:r>
            <w:r w:rsidRPr="00A214B0">
              <w:rPr>
                <w:rFonts w:ascii="Times New Roman" w:eastAsia="Arial Narrow" w:hAnsi="Times New Roman" w:cs="Times New Roman"/>
                <w:color w:val="000000" w:themeColor="text1"/>
                <w:kern w:val="0"/>
                <w:sz w:val="18"/>
                <w:szCs w:val="18"/>
                <w:lang w:bidi="ar"/>
              </w:rPr>
              <w:t>化验室、样品间</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砖混</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2013/5/1</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 xml:space="preserve">41.29 </w:t>
            </w:r>
          </w:p>
        </w:tc>
      </w:tr>
      <w:tr w:rsidR="00D56508" w:rsidRPr="00A214B0">
        <w:trPr>
          <w:trHeight w:val="500"/>
        </w:trPr>
        <w:tc>
          <w:tcPr>
            <w:tcW w:w="670" w:type="dxa"/>
            <w:tcBorders>
              <w:top w:val="nil"/>
              <w:left w:val="single" w:sz="4" w:space="0" w:color="auto"/>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1750"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合计　</w:t>
            </w:r>
          </w:p>
        </w:tc>
        <w:tc>
          <w:tcPr>
            <w:tcW w:w="2301"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914"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737"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1406"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1271" w:type="dxa"/>
            <w:tcBorders>
              <w:top w:val="nil"/>
              <w:left w:val="nil"/>
              <w:bottom w:val="single" w:sz="4" w:space="0" w:color="auto"/>
              <w:right w:val="single" w:sz="4" w:space="0" w:color="auto"/>
            </w:tcBorders>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5</w:t>
            </w:r>
            <w:r w:rsidRPr="00A214B0">
              <w:rPr>
                <w:rFonts w:ascii="Times New Roman" w:hAnsi="Times New Roman" w:cs="Times New Roman" w:hint="eastAsia"/>
                <w:b/>
                <w:bCs/>
                <w:color w:val="000000" w:themeColor="text1"/>
                <w:kern w:val="0"/>
                <w:sz w:val="18"/>
                <w:szCs w:val="18"/>
              </w:rPr>
              <w:t>,</w:t>
            </w:r>
            <w:r w:rsidRPr="00A214B0">
              <w:rPr>
                <w:rFonts w:ascii="Times New Roman" w:hAnsi="Times New Roman" w:cs="Times New Roman"/>
                <w:b/>
                <w:bCs/>
                <w:color w:val="000000" w:themeColor="text1"/>
                <w:kern w:val="0"/>
                <w:sz w:val="18"/>
                <w:szCs w:val="18"/>
              </w:rPr>
              <w:t>011.89</w:t>
            </w:r>
            <w:r w:rsidRPr="00A214B0">
              <w:rPr>
                <w:rFonts w:ascii="Times New Roman" w:hAnsi="Times New Roman" w:cs="Times New Roman"/>
                <w:b/>
                <w:bCs/>
                <w:color w:val="000000" w:themeColor="text1"/>
                <w:kern w:val="0"/>
                <w:sz w:val="18"/>
                <w:szCs w:val="18"/>
              </w:rPr>
              <w:t xml:space="preserve">　</w:t>
            </w:r>
          </w:p>
        </w:tc>
      </w:tr>
    </w:tbl>
    <w:p w:rsidR="00D56508" w:rsidRPr="00A214B0" w:rsidRDefault="00F1265B">
      <w:pPr>
        <w:tabs>
          <w:tab w:val="left" w:pos="2552"/>
        </w:tabs>
        <w:autoSpaceDE w:val="0"/>
        <w:autoSpaceDN w:val="0"/>
        <w:adjustRightInd w:val="0"/>
        <w:snapToGrid w:val="0"/>
        <w:spacing w:beforeLines="50" w:before="250"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对于上述未办理房权证或办理建设手续的房屋，被评估单位出具相关说明承诺房屋产权为江苏海企化工仓储股份有限公司所拥有。</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评估基准日，评估范围内的房屋建筑物在正常使用，使用状况较好。</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构筑物主要为道路、水池、围墙、绿化等</w:t>
      </w:r>
      <w:r w:rsidRPr="00A214B0">
        <w:rPr>
          <w:rFonts w:hint="eastAsia"/>
          <w:color w:val="000000" w:themeColor="text1"/>
          <w:szCs w:val="24"/>
        </w:rPr>
        <w:t>，</w:t>
      </w:r>
      <w:r w:rsidRPr="00A214B0">
        <w:rPr>
          <w:rFonts w:ascii="Times New Roman" w:hAnsi="Times New Roman" w:cs="Times New Roman" w:hint="eastAsia"/>
          <w:color w:val="000000" w:themeColor="text1"/>
          <w:sz w:val="24"/>
          <w:szCs w:val="24"/>
        </w:rPr>
        <w:t>管道主要包括一期及一期扩建罐区管道、二期管道等</w:t>
      </w:r>
      <w:r w:rsidRPr="00A214B0">
        <w:rPr>
          <w:rFonts w:ascii="Times New Roman" w:hAnsi="Times New Roman" w:cs="Times New Roman"/>
          <w:color w:val="000000" w:themeColor="text1"/>
          <w:sz w:val="24"/>
          <w:szCs w:val="24"/>
        </w:rPr>
        <w:t>。</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outlineLvl w:val="2"/>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2. </w:t>
      </w:r>
      <w:r w:rsidRPr="00A214B0">
        <w:rPr>
          <w:rFonts w:ascii="Times New Roman" w:hAnsi="Times New Roman" w:cs="Times New Roman"/>
          <w:color w:val="000000" w:themeColor="text1"/>
          <w:sz w:val="24"/>
          <w:szCs w:val="24"/>
        </w:rPr>
        <w:t>房屋具体状况</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）资产分布位置</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委估房屋主要为行政办公楼、生活楼、综合楼等，位于江苏省泰州市高港区永安洲镇疏港一路</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号，分布于一期和二期厂区内。</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bookmarkStart w:id="68" w:name="_Toc288572641"/>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）建筑状况</w:t>
      </w:r>
      <w:bookmarkEnd w:id="68"/>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委估房屋主要为生产性用房，框架结构，建于</w:t>
      </w:r>
      <w:r w:rsidRPr="00A214B0">
        <w:rPr>
          <w:rFonts w:ascii="Times New Roman" w:hAnsi="Times New Roman" w:cs="Times New Roman"/>
          <w:color w:val="000000" w:themeColor="text1"/>
          <w:sz w:val="24"/>
          <w:szCs w:val="24"/>
        </w:rPr>
        <w:t>2008</w:t>
      </w:r>
      <w:r w:rsidRPr="00A214B0">
        <w:rPr>
          <w:rFonts w:ascii="Times New Roman" w:hAnsi="Times New Roman" w:cs="Times New Roman"/>
          <w:color w:val="000000" w:themeColor="text1"/>
          <w:sz w:val="24"/>
          <w:szCs w:val="24"/>
        </w:rPr>
        <w:t>年至</w:t>
      </w:r>
      <w:r w:rsidRPr="00A214B0">
        <w:rPr>
          <w:rFonts w:ascii="Times New Roman" w:hAnsi="Times New Roman" w:cs="Times New Roman"/>
          <w:color w:val="000000" w:themeColor="text1"/>
          <w:sz w:val="24"/>
          <w:szCs w:val="24"/>
        </w:rPr>
        <w:t>2017</w:t>
      </w:r>
      <w:r w:rsidRPr="00A214B0">
        <w:rPr>
          <w:rFonts w:ascii="Times New Roman" w:hAnsi="Times New Roman" w:cs="Times New Roman"/>
          <w:color w:val="000000" w:themeColor="text1"/>
          <w:sz w:val="24"/>
          <w:szCs w:val="24"/>
        </w:rPr>
        <w:t>年。房屋主要作为企业办公、生产使用，其中建成于</w:t>
      </w:r>
      <w:r w:rsidRPr="00A214B0">
        <w:rPr>
          <w:rFonts w:ascii="Times New Roman" w:hAnsi="Times New Roman" w:cs="Times New Roman"/>
          <w:color w:val="000000" w:themeColor="text1"/>
          <w:sz w:val="24"/>
          <w:szCs w:val="24"/>
        </w:rPr>
        <w:t>2008</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9</w:t>
      </w:r>
      <w:r w:rsidRPr="00A214B0">
        <w:rPr>
          <w:rFonts w:ascii="Times New Roman" w:hAnsi="Times New Roman" w:cs="Times New Roman"/>
          <w:color w:val="000000" w:themeColor="text1"/>
          <w:sz w:val="24"/>
          <w:szCs w:val="24"/>
        </w:rPr>
        <w:t>月的行政办公楼，结构为框架，为独立基础，柱梁板承重，内墙为乳胶漆粉刷，刚性屋面、地面铺垫地砖、局部铺垫地板、塑钢窗、玻璃门、水电暖设施齐全。房屋整体状况较好。其他主要房屋主要结构为框架，独立基础，柱梁板承重，刚性屋面，地面铺垫地砖。整体状况均较好。</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bookmarkStart w:id="69" w:name="_Toc288572643"/>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）产权状况</w:t>
      </w:r>
      <w:bookmarkEnd w:id="69"/>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截至评估基准日，委估房屋中取得不动产权证的共计</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项。委估房屋中有</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项房屋取得了建设工程规划许可证。其他房屋未取得不动产权证或建设工程规划许可证。</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outlineLvl w:val="2"/>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．评估过程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根据本次评估目的，结合委估建筑物特点，本次对企业自建房屋采用重置成本法进行评估。评估工作主要分以下四个阶段进行。</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首先，核实基础数据并收集评估所需资料。评估人员进入现场后根据产权持有单位提供的资产评估明细表，进行账表核对，主要核对房屋构筑物的名称、位置、结构、建筑面积、使用年限、账面价值等；收集委估建筑物的有关财务、产权资料。</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其次，实地查勘。根据申报表，对照企业评估基准日时的资产现状，将资产申报表中的缺项、漏项进行填补，做到账实相符，不重不漏。在勘查时，还主要察看了房屋、构筑物的结构、层数、高度、跨度、内外装修、室内设施、配套状况、各构件现状、基础状况以及维修使用情况，并作了详细的查勘记录。</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结构：为了判断建筑物基础的安全性，初步确定基础的可靠性，为评估提供依据。根据结构类型对承重墙、梁、板、柱进行观测，查看有无变形开裂，有无不均匀沉降，查看混凝土构件有无露筋、麻面、变形，查看墙体是否有风化以及风化的程度。</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装饰：每个建筑物的装修标准和内容不尽相同，一般可分为内装修和外装修、高档装修和一般装修，但无论是对何种形式的装修，查看的主要内容是看装修的内容有无脱落、开裂、损坏，另外还要看装饰的新旧程度。</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设备：水电设施是否完好齐全，是否畅通，有无损坏和腐蚀，能否满足使用要求。</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维护结构：如非承重墙、门、窗、隔断、散水、防水、保温等，查看有无损坏、丢失、腐烂、开裂等现象。</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再次，搜集价格资料。对于采用重置成本法的房屋，搜集当地的建设工程概预算定额和材料、人工、机械价格增值的资料，收集有关管理部门对房屋构筑物建设的相关政策规定。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最后，评估作价及编制评估说明。依据所搜集的资料对评估对象进行因素分析、评定估算，得出评估对象于评估基准日的评估价值，并最终形成评估技术说明。</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outlineLvl w:val="2"/>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．评估方法</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根据房屋建筑物的特点、可利用资料的收集情况及建筑物所处位置的市场交易活跃程度，本次对被评估单位自建房屋采用重置成本法进行评估。</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成本法是根据建筑工程资料和竣工结算资料按建筑物工程量，以现行定额标准、建设规费、贷款利率计算出建筑物的重置全价，并按建筑物的使用年限和对建筑物现场勘察的情况综合确定成新率，进而计算建筑物评估价值。其基本公式为：</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评估值</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成新率</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重置全价的确定：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建筑安装工程造价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前期费用及其他费用</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资金成本</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可抵扣增值税</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建安工程造价的确定：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于委估的建筑物采用单方造价法确定其建安综合造价。在区分不同的结构类型及使用功能的基础上，根据评估基准日及所在地正常的施工水平、施工质量和一般装修标准确定其基准单方造价，在此基础上依照建筑物的个性（如不同的层</w:t>
      </w:r>
      <w:r w:rsidRPr="00A214B0">
        <w:rPr>
          <w:rFonts w:ascii="Times New Roman" w:hAnsi="Times New Roman" w:cs="Times New Roman"/>
          <w:color w:val="000000" w:themeColor="text1"/>
          <w:sz w:val="24"/>
          <w:szCs w:val="24"/>
        </w:rPr>
        <w:t xml:space="preserve"> </w:t>
      </w:r>
      <w:r w:rsidRPr="00A214B0">
        <w:rPr>
          <w:rFonts w:ascii="Times New Roman" w:hAnsi="Times New Roman" w:cs="Times New Roman"/>
          <w:color w:val="000000" w:themeColor="text1"/>
          <w:sz w:val="24"/>
          <w:szCs w:val="24"/>
        </w:rPr>
        <w:t>高、跨度、装修情况、施工困难程度等）和现场测量的工作量对基准单方造价进行调整，最终确定单方造价标准，以此作为建安综合造价。</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前期及其他费用的确定：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前期及其他费用包括建设单位管理费、勘察设计费、工程监理费、招投标代理服务费、项目可研费等。按照被评估单位的工程建设投资额，根据国家和地方相关行政事业性收费规定，确定前期费用及其他费。</w:t>
      </w:r>
      <w:r w:rsidR="0008122B" w:rsidRPr="00A214B0">
        <w:rPr>
          <w:rFonts w:ascii="Times New Roman" w:hAnsi="Times New Roman" w:cs="Times New Roman" w:hint="eastAsia"/>
          <w:color w:val="000000" w:themeColor="text1"/>
          <w:sz w:val="24"/>
          <w:szCs w:val="24"/>
        </w:rPr>
        <w:t>本次对于未取得不动产权证、建设工程规划许可证的房屋未考虑相关的规费。</w:t>
      </w:r>
      <w:r w:rsidRPr="00A214B0">
        <w:rPr>
          <w:rFonts w:ascii="Times New Roman" w:hAnsi="Times New Roman" w:cs="Times New Roman"/>
          <w:color w:val="000000" w:themeColor="text1"/>
          <w:sz w:val="24"/>
          <w:szCs w:val="24"/>
        </w:rPr>
        <w:t>前期及其他费用构成如下表：</w:t>
      </w:r>
    </w:p>
    <w:tbl>
      <w:tblPr>
        <w:tblW w:w="8154" w:type="dxa"/>
        <w:tblLayout w:type="fixed"/>
        <w:tblLook w:val="04A0" w:firstRow="1" w:lastRow="0" w:firstColumn="1" w:lastColumn="0" w:noHBand="0" w:noVBand="1"/>
      </w:tblPr>
      <w:tblGrid>
        <w:gridCol w:w="416"/>
        <w:gridCol w:w="1223"/>
        <w:gridCol w:w="619"/>
        <w:gridCol w:w="757"/>
        <w:gridCol w:w="5139"/>
      </w:tblGrid>
      <w:tr w:rsidR="00D56508" w:rsidRPr="00A214B0">
        <w:trPr>
          <w:trHeight w:val="240"/>
          <w:tblHeader/>
        </w:trPr>
        <w:tc>
          <w:tcPr>
            <w:tcW w:w="815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前期及其他费用</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序号</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费用项目</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取费基数</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费率</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依据</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文号</w:t>
            </w:r>
            <w:r w:rsidRPr="00A214B0">
              <w:rPr>
                <w:rFonts w:ascii="Times New Roman" w:hAnsi="Times New Roman" w:cs="Times New Roman"/>
                <w:color w:val="000000" w:themeColor="text1"/>
                <w:kern w:val="0"/>
                <w:sz w:val="18"/>
                <w:szCs w:val="18"/>
              </w:rPr>
              <w:t>)</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按工程造价取费的项目</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nil"/>
              <w:right w:val="nil"/>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6.443%</w:t>
            </w:r>
          </w:p>
        </w:tc>
        <w:tc>
          <w:tcPr>
            <w:tcW w:w="5139"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勘察费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0.800%</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关于发布《工程勘察设计收费管理规定》的通知（国家计委、建设部，计价格</w:t>
            </w:r>
            <w:r w:rsidRPr="00A214B0">
              <w:rPr>
                <w:rFonts w:ascii="Times New Roman" w:hAnsi="Times New Roman" w:cs="Times New Roman"/>
                <w:color w:val="000000" w:themeColor="text1"/>
                <w:kern w:val="0"/>
                <w:sz w:val="18"/>
                <w:szCs w:val="18"/>
              </w:rPr>
              <w:t>[2002]10</w:t>
            </w:r>
            <w:r w:rsidRPr="00A214B0">
              <w:rPr>
                <w:rFonts w:ascii="Times New Roman" w:hAnsi="Times New Roman" w:cs="Times New Roman"/>
                <w:color w:val="000000" w:themeColor="text1"/>
                <w:kern w:val="0"/>
                <w:sz w:val="18"/>
                <w:szCs w:val="18"/>
              </w:rPr>
              <w:t>号）</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设计费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2.569%</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关于发布《工程勘察设计收费管理规定》的通知（国家计委、建设部，计价格</w:t>
            </w:r>
            <w:r w:rsidRPr="00A214B0">
              <w:rPr>
                <w:rFonts w:ascii="Times New Roman" w:hAnsi="Times New Roman" w:cs="Times New Roman"/>
                <w:color w:val="000000" w:themeColor="text1"/>
                <w:kern w:val="0"/>
                <w:sz w:val="18"/>
                <w:szCs w:val="18"/>
              </w:rPr>
              <w:t>[2002]10</w:t>
            </w:r>
            <w:r w:rsidRPr="00A214B0">
              <w:rPr>
                <w:rFonts w:ascii="Times New Roman" w:hAnsi="Times New Roman" w:cs="Times New Roman"/>
                <w:color w:val="000000" w:themeColor="text1"/>
                <w:kern w:val="0"/>
                <w:sz w:val="18"/>
                <w:szCs w:val="18"/>
              </w:rPr>
              <w:t>号）</w:t>
            </w:r>
          </w:p>
        </w:tc>
      </w:tr>
      <w:tr w:rsidR="00D56508" w:rsidRPr="00A214B0">
        <w:trPr>
          <w:trHeight w:val="48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招标代理服务费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0.101%</w:t>
            </w:r>
          </w:p>
        </w:tc>
        <w:tc>
          <w:tcPr>
            <w:tcW w:w="51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关于印发《招标代理服务收费管理暂行办法》的通知（国家计委，计价格</w:t>
            </w:r>
            <w:r w:rsidRPr="00A214B0">
              <w:rPr>
                <w:rFonts w:ascii="Times New Roman" w:hAnsi="Times New Roman" w:cs="Times New Roman"/>
                <w:color w:val="000000" w:themeColor="text1"/>
                <w:kern w:val="0"/>
                <w:sz w:val="18"/>
                <w:szCs w:val="18"/>
              </w:rPr>
              <w:t>[2002]1980</w:t>
            </w:r>
            <w:r w:rsidRPr="00A214B0">
              <w:rPr>
                <w:rFonts w:ascii="Times New Roman" w:hAnsi="Times New Roman" w:cs="Times New Roman"/>
                <w:color w:val="000000" w:themeColor="text1"/>
                <w:kern w:val="0"/>
                <w:sz w:val="18"/>
                <w:szCs w:val="18"/>
              </w:rPr>
              <w:t>号）</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关于降低部分建设项目收费标准规范收费行为等有关问题的通知（国家发展改革委，发改价格</w:t>
            </w:r>
            <w:r w:rsidRPr="00A214B0">
              <w:rPr>
                <w:rFonts w:ascii="Times New Roman" w:hAnsi="Times New Roman" w:cs="Times New Roman"/>
                <w:color w:val="000000" w:themeColor="text1"/>
                <w:kern w:val="0"/>
                <w:sz w:val="18"/>
                <w:szCs w:val="18"/>
              </w:rPr>
              <w:t>[2011]534</w:t>
            </w:r>
            <w:r w:rsidRPr="00A214B0">
              <w:rPr>
                <w:rFonts w:ascii="Times New Roman" w:hAnsi="Times New Roman" w:cs="Times New Roman"/>
                <w:color w:val="000000" w:themeColor="text1"/>
                <w:kern w:val="0"/>
                <w:sz w:val="18"/>
                <w:szCs w:val="18"/>
              </w:rPr>
              <w:t>号）</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工程监理费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1.700%</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关于印发《建设工程监理与相关服务收费管理规定》的通知（国家发展改革委、建设部，发改价格</w:t>
            </w:r>
            <w:r w:rsidRPr="00A214B0">
              <w:rPr>
                <w:rFonts w:ascii="Times New Roman" w:hAnsi="Times New Roman" w:cs="Times New Roman"/>
                <w:color w:val="000000" w:themeColor="text1"/>
                <w:kern w:val="0"/>
                <w:sz w:val="18"/>
                <w:szCs w:val="18"/>
              </w:rPr>
              <w:t>[2007]670</w:t>
            </w:r>
            <w:r w:rsidRPr="00A214B0">
              <w:rPr>
                <w:rFonts w:ascii="Times New Roman" w:hAnsi="Times New Roman" w:cs="Times New Roman"/>
                <w:color w:val="000000" w:themeColor="text1"/>
                <w:kern w:val="0"/>
                <w:sz w:val="18"/>
                <w:szCs w:val="18"/>
              </w:rPr>
              <w:t>号）</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可行性研究费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0.150%</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关于印发《建设项目前期工作咨询收费暂行规定的通知》（国家计委，计价格</w:t>
            </w:r>
            <w:r w:rsidRPr="00A214B0">
              <w:rPr>
                <w:rFonts w:ascii="Times New Roman" w:hAnsi="Times New Roman" w:cs="Times New Roman"/>
                <w:color w:val="000000" w:themeColor="text1"/>
                <w:kern w:val="0"/>
                <w:sz w:val="18"/>
                <w:szCs w:val="18"/>
              </w:rPr>
              <w:t>[1999]1283</w:t>
            </w:r>
            <w:r w:rsidRPr="00A214B0">
              <w:rPr>
                <w:rFonts w:ascii="Times New Roman" w:hAnsi="Times New Roman" w:cs="Times New Roman"/>
                <w:color w:val="000000" w:themeColor="text1"/>
                <w:kern w:val="0"/>
                <w:sz w:val="18"/>
                <w:szCs w:val="18"/>
              </w:rPr>
              <w:t>号）</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建设单位管理费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1.080%</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关于印发《基本建设项目建设成本管理规定》的通知（财政部，财建</w:t>
            </w:r>
            <w:r w:rsidRPr="00A214B0">
              <w:rPr>
                <w:rFonts w:ascii="Times New Roman" w:hAnsi="Times New Roman" w:cs="Times New Roman"/>
                <w:color w:val="000000" w:themeColor="text1"/>
                <w:kern w:val="0"/>
                <w:sz w:val="18"/>
                <w:szCs w:val="18"/>
              </w:rPr>
              <w:t>[2016]504</w:t>
            </w:r>
            <w:r w:rsidRPr="00A214B0">
              <w:rPr>
                <w:rFonts w:ascii="Times New Roman" w:hAnsi="Times New Roman" w:cs="Times New Roman"/>
                <w:color w:val="000000" w:themeColor="text1"/>
                <w:kern w:val="0"/>
                <w:sz w:val="18"/>
                <w:szCs w:val="18"/>
              </w:rPr>
              <w:t>号）</w:t>
            </w:r>
          </w:p>
        </w:tc>
      </w:tr>
      <w:tr w:rsidR="00D56508" w:rsidRPr="00A214B0">
        <w:trPr>
          <w:trHeight w:val="48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环境影响咨询费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工程造价</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0.043%</w:t>
            </w:r>
          </w:p>
        </w:tc>
        <w:tc>
          <w:tcPr>
            <w:tcW w:w="51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关于规范《环境影响咨询收费有关问题》的通知（国家计委、国家环境保护总局，计价格</w:t>
            </w:r>
            <w:r w:rsidRPr="00A214B0">
              <w:rPr>
                <w:rFonts w:ascii="Times New Roman" w:hAnsi="Times New Roman" w:cs="Times New Roman"/>
                <w:color w:val="000000" w:themeColor="text1"/>
                <w:kern w:val="0"/>
                <w:sz w:val="18"/>
                <w:szCs w:val="18"/>
              </w:rPr>
              <w:t>[2002]125</w:t>
            </w:r>
            <w:r w:rsidRPr="00A214B0">
              <w:rPr>
                <w:rFonts w:ascii="Times New Roman" w:hAnsi="Times New Roman" w:cs="Times New Roman"/>
                <w:color w:val="000000" w:themeColor="text1"/>
                <w:kern w:val="0"/>
                <w:sz w:val="18"/>
                <w:szCs w:val="18"/>
              </w:rPr>
              <w:t>号）</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关于降低部分建设项目收费标准规范收费行为等有关问题的通知（国家发展改革委，发改价格</w:t>
            </w:r>
            <w:r w:rsidRPr="00A214B0">
              <w:rPr>
                <w:rFonts w:ascii="Times New Roman" w:hAnsi="Times New Roman" w:cs="Times New Roman"/>
                <w:color w:val="000000" w:themeColor="text1"/>
                <w:kern w:val="0"/>
                <w:sz w:val="18"/>
                <w:szCs w:val="18"/>
              </w:rPr>
              <w:t>[2011]534</w:t>
            </w:r>
            <w:r w:rsidRPr="00A214B0">
              <w:rPr>
                <w:rFonts w:ascii="Times New Roman" w:hAnsi="Times New Roman" w:cs="Times New Roman"/>
                <w:color w:val="000000" w:themeColor="text1"/>
                <w:kern w:val="0"/>
                <w:sz w:val="18"/>
                <w:szCs w:val="18"/>
              </w:rPr>
              <w:t>号）</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按建筑面积取费的项目</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建筑面积</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75.</w:t>
            </w:r>
            <w:r w:rsidRPr="00A214B0">
              <w:rPr>
                <w:rFonts w:ascii="Times New Roman" w:hAnsi="Times New Roman" w:cs="Times New Roman"/>
                <w:color w:val="000000" w:themeColor="text1"/>
                <w:kern w:val="0"/>
                <w:sz w:val="18"/>
                <w:szCs w:val="18"/>
              </w:rPr>
              <w:t>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平方米</w:t>
            </w:r>
          </w:p>
        </w:tc>
        <w:tc>
          <w:tcPr>
            <w:tcW w:w="513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r>
      <w:tr w:rsidR="00D56508" w:rsidRPr="00A214B0">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22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城市基础设施配套费</w:t>
            </w:r>
          </w:p>
        </w:tc>
        <w:tc>
          <w:tcPr>
            <w:tcW w:w="619"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建筑面积</w:t>
            </w:r>
          </w:p>
        </w:tc>
        <w:tc>
          <w:tcPr>
            <w:tcW w:w="757"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75.</w:t>
            </w:r>
            <w:r w:rsidRPr="00A214B0">
              <w:rPr>
                <w:rFonts w:ascii="Times New Roman" w:hAnsi="Times New Roman" w:cs="Times New Roman"/>
                <w:color w:val="000000" w:themeColor="text1"/>
                <w:kern w:val="0"/>
                <w:sz w:val="18"/>
                <w:szCs w:val="18"/>
              </w:rPr>
              <w:t>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平方米</w:t>
            </w:r>
          </w:p>
        </w:tc>
        <w:tc>
          <w:tcPr>
            <w:tcW w:w="51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《江苏省行政事业性收费项目目录》：县城每平方米</w:t>
            </w:r>
            <w:r w:rsidRPr="00A214B0">
              <w:rPr>
                <w:rFonts w:ascii="Times New Roman" w:hAnsi="Times New Roman" w:cs="Times New Roman"/>
                <w:color w:val="000000" w:themeColor="text1"/>
                <w:kern w:val="0"/>
                <w:sz w:val="18"/>
                <w:szCs w:val="18"/>
              </w:rPr>
              <w:t>75</w:t>
            </w:r>
            <w:r w:rsidRPr="00A214B0">
              <w:rPr>
                <w:rFonts w:ascii="Times New Roman" w:hAnsi="Times New Roman" w:cs="Times New Roman"/>
                <w:color w:val="000000" w:themeColor="text1"/>
                <w:kern w:val="0"/>
                <w:sz w:val="18"/>
                <w:szCs w:val="18"/>
              </w:rPr>
              <w:t>元，中等城市</w:t>
            </w:r>
            <w:r w:rsidRPr="00A214B0">
              <w:rPr>
                <w:rFonts w:ascii="Times New Roman" w:hAnsi="Times New Roman" w:cs="Times New Roman"/>
                <w:color w:val="000000" w:themeColor="text1"/>
                <w:kern w:val="0"/>
                <w:sz w:val="18"/>
                <w:szCs w:val="18"/>
              </w:rPr>
              <w:t>90</w:t>
            </w:r>
            <w:r w:rsidRPr="00A214B0">
              <w:rPr>
                <w:rFonts w:ascii="Times New Roman" w:hAnsi="Times New Roman" w:cs="Times New Roman"/>
                <w:color w:val="000000" w:themeColor="text1"/>
                <w:kern w:val="0"/>
                <w:sz w:val="18"/>
                <w:szCs w:val="18"/>
              </w:rPr>
              <w:t>元，大城市</w:t>
            </w:r>
            <w:r w:rsidRPr="00A214B0">
              <w:rPr>
                <w:rFonts w:ascii="Times New Roman" w:hAnsi="Times New Roman" w:cs="Times New Roman"/>
                <w:color w:val="000000" w:themeColor="text1"/>
                <w:kern w:val="0"/>
                <w:sz w:val="18"/>
                <w:szCs w:val="18"/>
              </w:rPr>
              <w:t>105</w:t>
            </w:r>
            <w:r w:rsidRPr="00A214B0">
              <w:rPr>
                <w:rFonts w:ascii="Times New Roman" w:hAnsi="Times New Roman" w:cs="Times New Roman"/>
                <w:color w:val="000000" w:themeColor="text1"/>
                <w:kern w:val="0"/>
                <w:sz w:val="18"/>
                <w:szCs w:val="18"/>
              </w:rPr>
              <w:t>元。南京市</w:t>
            </w:r>
            <w:r w:rsidRPr="00A214B0">
              <w:rPr>
                <w:rFonts w:ascii="Times New Roman" w:hAnsi="Times New Roman" w:cs="Times New Roman"/>
                <w:color w:val="000000" w:themeColor="text1"/>
                <w:kern w:val="0"/>
                <w:sz w:val="18"/>
                <w:szCs w:val="18"/>
              </w:rPr>
              <w:t>150</w:t>
            </w:r>
            <w:r w:rsidRPr="00A214B0">
              <w:rPr>
                <w:rFonts w:ascii="Times New Roman" w:hAnsi="Times New Roman" w:cs="Times New Roman"/>
                <w:color w:val="000000" w:themeColor="text1"/>
                <w:kern w:val="0"/>
                <w:sz w:val="18"/>
                <w:szCs w:val="18"/>
              </w:rPr>
              <w:t>元</w:t>
            </w:r>
          </w:p>
        </w:tc>
      </w:tr>
    </w:tbl>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 C.</w:t>
      </w:r>
      <w:r w:rsidRPr="00A214B0">
        <w:rPr>
          <w:rFonts w:ascii="Times New Roman" w:hAnsi="Times New Roman" w:cs="Times New Roman"/>
          <w:color w:val="000000" w:themeColor="text1"/>
          <w:sz w:val="24"/>
          <w:szCs w:val="24"/>
        </w:rPr>
        <w:t>资金成本的确定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按照合理的建设工期，根据基准日银行贷款利率，计算建设期间合理的资金成本。</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本次假设建设资金在建设期间均匀投入，资金成本按下式确定：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资金成本</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（建安工程造价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前期其他费用）</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基准日银行贷款年利率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合理工期</w:t>
      </w:r>
      <w:r w:rsidRPr="00A214B0">
        <w:rPr>
          <w:rFonts w:ascii="Times New Roman" w:hAnsi="Times New Roman" w:cs="Times New Roman"/>
          <w:color w:val="000000" w:themeColor="text1"/>
          <w:sz w:val="24"/>
          <w:szCs w:val="24"/>
        </w:rPr>
        <w:t>×50%</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故本次确定评估房屋和构筑物工程建设期为一年，半年至一年的贷款利率为</w:t>
      </w:r>
      <w:r w:rsidRPr="00A214B0">
        <w:rPr>
          <w:rFonts w:ascii="Times New Roman" w:hAnsi="Times New Roman" w:cs="Times New Roman"/>
          <w:color w:val="000000" w:themeColor="text1"/>
          <w:sz w:val="24"/>
          <w:szCs w:val="24"/>
        </w:rPr>
        <w:t>4.35%</w:t>
      </w:r>
      <w:r w:rsidRPr="00A214B0">
        <w:rPr>
          <w:rFonts w:ascii="Times New Roman" w:hAnsi="Times New Roman" w:cs="Times New Roman"/>
          <w:color w:val="000000" w:themeColor="text1"/>
          <w:sz w:val="24"/>
          <w:szCs w:val="24"/>
        </w:rPr>
        <w:t>，评估按照均匀投入的方式测算。</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D.</w:t>
      </w:r>
      <w:r w:rsidRPr="00A214B0">
        <w:rPr>
          <w:rFonts w:ascii="Times New Roman" w:hAnsi="Times New Roman" w:cs="Times New Roman"/>
          <w:color w:val="000000" w:themeColor="text1"/>
          <w:sz w:val="24"/>
          <w:szCs w:val="24"/>
        </w:rPr>
        <w:t>可抵扣增值税</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根据最新增值率调整文件，对于符合增值税抵扣条件的，重置全价扣除相应的增值税。</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建安综合造价可抵扣增值税</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建安综合含税造价</w:t>
      </w:r>
      <w:r w:rsidRPr="00A214B0">
        <w:rPr>
          <w:rFonts w:ascii="Times New Roman" w:hAnsi="Times New Roman" w:cs="Times New Roman"/>
          <w:color w:val="000000" w:themeColor="text1"/>
          <w:sz w:val="24"/>
          <w:szCs w:val="24"/>
        </w:rPr>
        <w:t xml:space="preserve">/1.09× 9% </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前期费及其他费用可抵扣增值税</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建安工程含税造价</w:t>
      </w:r>
      <w:r w:rsidRPr="00A214B0">
        <w:rPr>
          <w:rFonts w:ascii="Times New Roman" w:hAnsi="Times New Roman" w:cs="Times New Roman"/>
          <w:color w:val="000000" w:themeColor="text1"/>
          <w:sz w:val="24"/>
          <w:szCs w:val="24"/>
        </w:rPr>
        <w:t xml:space="preserve">× </w:t>
      </w:r>
      <w:r w:rsidRPr="00A214B0">
        <w:rPr>
          <w:rFonts w:ascii="Times New Roman" w:hAnsi="Times New Roman" w:cs="Times New Roman"/>
          <w:color w:val="000000" w:themeColor="text1"/>
          <w:sz w:val="24"/>
          <w:szCs w:val="24"/>
        </w:rPr>
        <w:t>前期费用及其他费用率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不含建设单位管理费</w:t>
      </w:r>
      <w:r w:rsidRPr="00A214B0">
        <w:rPr>
          <w:rFonts w:ascii="Times New Roman" w:hAnsi="Times New Roman" w:cs="Times New Roman"/>
          <w:color w:val="000000" w:themeColor="text1"/>
          <w:sz w:val="24"/>
          <w:szCs w:val="24"/>
        </w:rPr>
        <w:t>) /1.06× 6%</w:t>
      </w:r>
      <w:r w:rsidRPr="00A214B0">
        <w:rPr>
          <w:rFonts w:ascii="Times New Roman" w:hAnsi="Times New Roman" w:cs="Times New Roman"/>
          <w:color w:val="000000" w:themeColor="text1"/>
          <w:sz w:val="24"/>
          <w:szCs w:val="24"/>
        </w:rPr>
        <w:t>。</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②</w:t>
      </w:r>
      <w:r w:rsidRPr="00A214B0">
        <w:rPr>
          <w:rFonts w:ascii="Times New Roman" w:hAnsi="Times New Roman" w:cs="Times New Roman"/>
          <w:color w:val="000000" w:themeColor="text1"/>
          <w:sz w:val="24"/>
          <w:szCs w:val="24"/>
        </w:rPr>
        <w:t>成新率的确定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房屋建筑物成新率的确定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以现场勘查结果，结合房屋建筑物、构筑物的具体情况，分别按年限法和完好分值法的不同权重加权平均后加总求和，确定综合成新率。</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年限法成新率的确定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年限法成新率依据委估建筑物的已使用年限、经济耐用年限和土地剩余使用年限综合确定，按照房屋剩余年限和土地剩余年限孰低的原则，来确定成新率。其中已使用年限根据其建成时间、评估基准日期计算确定；经济耐用年限根据房屋的结构形式、使用环境按有关规定确定；土地剩余年限根据土地终止日期、评估基准日期计算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年限法成新率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尚可使用年限））</w:t>
      </w:r>
      <w:r w:rsidRPr="00A214B0">
        <w:rPr>
          <w:rFonts w:ascii="Times New Roman" w:hAnsi="Times New Roman" w:cs="Times New Roman"/>
          <w:color w:val="000000" w:themeColor="text1"/>
          <w:sz w:val="24"/>
          <w:szCs w:val="24"/>
        </w:rPr>
        <w:t>×100%</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完好分值法成新率的确定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主要依据《房屋完损等级评定标准》和《鉴定房屋新旧程度的参考依据》，根据现场勘查记录的各分部分项工程完好分值测算出结构、装修、设备三部分的完好分值，然后与这三部分的标准分值比较，求得三部分成新率，按不同权重折算，加总确定成新率。计算公式：</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完好分值法成新率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结构部分成新率</w:t>
      </w:r>
      <w:r w:rsidRPr="00A214B0">
        <w:rPr>
          <w:rFonts w:ascii="Times New Roman" w:hAnsi="Times New Roman" w:cs="Times New Roman"/>
          <w:color w:val="000000" w:themeColor="text1"/>
          <w:sz w:val="24"/>
          <w:szCs w:val="24"/>
        </w:rPr>
        <w:t>×G+</w:t>
      </w:r>
      <w:r w:rsidRPr="00A214B0">
        <w:rPr>
          <w:rFonts w:ascii="Times New Roman" w:hAnsi="Times New Roman" w:cs="Times New Roman"/>
          <w:color w:val="000000" w:themeColor="text1"/>
          <w:sz w:val="24"/>
          <w:szCs w:val="24"/>
        </w:rPr>
        <w:t>装修部分成新率</w:t>
      </w:r>
      <w:r w:rsidRPr="00A214B0">
        <w:rPr>
          <w:rFonts w:ascii="Times New Roman" w:hAnsi="Times New Roman" w:cs="Times New Roman"/>
          <w:color w:val="000000" w:themeColor="text1"/>
          <w:sz w:val="24"/>
          <w:szCs w:val="24"/>
        </w:rPr>
        <w:t>×S+</w:t>
      </w:r>
      <w:r w:rsidRPr="00A214B0">
        <w:rPr>
          <w:rFonts w:ascii="Times New Roman" w:hAnsi="Times New Roman" w:cs="Times New Roman"/>
          <w:color w:val="000000" w:themeColor="text1"/>
          <w:sz w:val="24"/>
          <w:szCs w:val="24"/>
        </w:rPr>
        <w:t>设备部分成新率</w:t>
      </w:r>
      <w:r w:rsidRPr="00A214B0">
        <w:rPr>
          <w:rFonts w:ascii="Times New Roman" w:hAnsi="Times New Roman" w:cs="Times New Roman"/>
          <w:color w:val="000000" w:themeColor="text1"/>
          <w:sz w:val="24"/>
          <w:szCs w:val="24"/>
        </w:rPr>
        <w:t>×B</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式中：</w:t>
      </w:r>
      <w:r w:rsidRPr="00A214B0">
        <w:rPr>
          <w:rFonts w:ascii="Times New Roman" w:hAnsi="Times New Roman" w:cs="Times New Roman"/>
          <w:color w:val="000000" w:themeColor="text1"/>
          <w:sz w:val="24"/>
          <w:szCs w:val="24"/>
        </w:rPr>
        <w:t>G</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S</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分别为结构、装修、设备权重系数。</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c.</w:t>
      </w:r>
      <w:r w:rsidRPr="00A214B0">
        <w:rPr>
          <w:rFonts w:ascii="Times New Roman" w:hAnsi="Times New Roman" w:cs="Times New Roman"/>
          <w:color w:val="000000" w:themeColor="text1"/>
          <w:sz w:val="24"/>
          <w:szCs w:val="24"/>
        </w:rPr>
        <w:t>综合成新率的确定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年限法成新率和完好分值法的权重分别取</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和</w:t>
      </w:r>
      <w:r w:rsidRPr="00A214B0">
        <w:rPr>
          <w:rFonts w:ascii="Times New Roman" w:hAnsi="Times New Roman" w:cs="Times New Roman"/>
          <w:color w:val="000000" w:themeColor="text1"/>
          <w:sz w:val="24"/>
          <w:szCs w:val="24"/>
        </w:rPr>
        <w:t>60%</w:t>
      </w:r>
      <w:r w:rsidRPr="00A214B0">
        <w:rPr>
          <w:rFonts w:ascii="Times New Roman" w:hAnsi="Times New Roman" w:cs="Times New Roman"/>
          <w:color w:val="000000" w:themeColor="text1"/>
          <w:sz w:val="24"/>
          <w:szCs w:val="24"/>
        </w:rPr>
        <w:t>，确定综合成新率。</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综合成新率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年限法成新率</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＋完好分值法成新率</w:t>
      </w:r>
      <w:r w:rsidRPr="00A214B0">
        <w:rPr>
          <w:rFonts w:ascii="Times New Roman" w:hAnsi="Times New Roman" w:cs="Times New Roman"/>
          <w:color w:val="000000" w:themeColor="text1"/>
          <w:sz w:val="24"/>
          <w:szCs w:val="24"/>
        </w:rPr>
        <w:t>×60%</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构筑物、管沟类建筑物的成新率的确定：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成新率</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1-</w:t>
      </w:r>
      <w:r w:rsidRPr="00A214B0">
        <w:rPr>
          <w:rFonts w:ascii="Times New Roman" w:hAnsi="Times New Roman" w:cs="Times New Roman" w:hint="eastAsia"/>
          <w:color w:val="000000" w:themeColor="text1"/>
          <w:sz w:val="24"/>
          <w:szCs w:val="24"/>
        </w:rPr>
        <w:t>已使用年限</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（已使用年限</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尚可使用年限））×</w:t>
      </w:r>
      <w:r w:rsidRPr="00A214B0">
        <w:rPr>
          <w:rFonts w:ascii="Times New Roman" w:hAnsi="Times New Roman" w:cs="Times New Roman" w:hint="eastAsia"/>
          <w:color w:val="000000" w:themeColor="text1"/>
          <w:sz w:val="24"/>
          <w:szCs w:val="24"/>
        </w:rPr>
        <w:t>100%</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上式中，尚可使用年限根据其结构类型或主要工程材质、使用环境下的耐用年限，结合其已使用年限及专业评估人员现场勘察的完好情况，综合评定后合理估计。</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③</w:t>
      </w:r>
      <w:r w:rsidRPr="00A214B0">
        <w:rPr>
          <w:rFonts w:ascii="Times New Roman" w:hAnsi="Times New Roman" w:cs="Times New Roman"/>
          <w:color w:val="000000" w:themeColor="text1"/>
          <w:sz w:val="24"/>
          <w:szCs w:val="24"/>
        </w:rPr>
        <w:t>评估值的确定</w:t>
      </w:r>
    </w:p>
    <w:p w:rsidR="00D56508" w:rsidRPr="00A214B0" w:rsidRDefault="00F1265B">
      <w:pPr>
        <w:tabs>
          <w:tab w:val="left" w:pos="2552"/>
        </w:tabs>
        <w:autoSpaceDE w:val="0"/>
        <w:autoSpaceDN w:val="0"/>
        <w:adjustRightInd w:val="0"/>
        <w:snapToGrid w:val="0"/>
        <w:spacing w:line="360" w:lineRule="auto"/>
        <w:ind w:firstLineChars="200" w:firstLine="480"/>
        <w:jc w:val="left"/>
        <w:textAlignment w:val="bottom"/>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评估值＝重置全价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成新率</w:t>
      </w:r>
    </w:p>
    <w:p w:rsidR="00D56508" w:rsidRPr="00A214B0" w:rsidRDefault="00F1265B">
      <w:pPr>
        <w:autoSpaceDE w:val="0"/>
        <w:autoSpaceDN w:val="0"/>
        <w:adjustRightInd w:val="0"/>
        <w:snapToGrid w:val="0"/>
        <w:spacing w:line="360" w:lineRule="auto"/>
        <w:ind w:firstLineChars="200" w:firstLine="480"/>
        <w:jc w:val="left"/>
        <w:outlineLvl w:val="2"/>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．典型案例</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房屋成本法案例：行政办公楼（房屋明细表</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w:t>
      </w:r>
    </w:p>
    <w:p w:rsidR="00D56508" w:rsidRPr="00A214B0" w:rsidRDefault="00F1265B">
      <w:pPr>
        <w:numPr>
          <w:ilvl w:val="0"/>
          <w:numId w:val="10"/>
        </w:num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概况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委估房屋为综合用房使用，建成于</w:t>
      </w:r>
      <w:r w:rsidRPr="00A214B0">
        <w:rPr>
          <w:rFonts w:ascii="Times New Roman" w:hAnsi="Times New Roman" w:cs="Times New Roman"/>
          <w:color w:val="000000" w:themeColor="text1"/>
          <w:sz w:val="24"/>
          <w:szCs w:val="24"/>
        </w:rPr>
        <w:t>2008</w:t>
      </w:r>
      <w:r w:rsidRPr="00A214B0">
        <w:rPr>
          <w:rFonts w:ascii="Times New Roman" w:hAnsi="Times New Roman" w:cs="Times New Roman"/>
          <w:color w:val="000000" w:themeColor="text1"/>
          <w:sz w:val="24"/>
          <w:szCs w:val="24"/>
        </w:rPr>
        <w:t>年，建筑面积</w:t>
      </w:r>
      <w:r w:rsidRPr="00A214B0">
        <w:rPr>
          <w:rFonts w:ascii="Times New Roman" w:hAnsi="Times New Roman" w:cs="Times New Roman"/>
          <w:color w:val="000000" w:themeColor="text1"/>
          <w:sz w:val="24"/>
          <w:szCs w:val="24"/>
        </w:rPr>
        <w:t>1670</w:t>
      </w:r>
      <w:r w:rsidRPr="00A214B0">
        <w:rPr>
          <w:rFonts w:ascii="Times New Roman" w:hAnsi="Times New Roman" w:cs="Times New Roman"/>
          <w:color w:val="000000" w:themeColor="text1"/>
          <w:sz w:val="24"/>
          <w:szCs w:val="24"/>
        </w:rPr>
        <w:t>平方米，主体结构</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层，作为企业办公使用。房屋结构框架，独立基础，柱梁板承重，内墙为乳胶漆粉刷，刚性屋面、地面铺垫地砖、局部铺垫地板、塑钢窗、玻璃门、水电暖设施齐全。整体状况较好。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）重置全价计算</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）建筑安装工程造价</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该建筑物的评估中采用成本法进行评定估算。建筑安装工程造价包括土建工程、安装工程的总价，本次参照房屋建筑物工程造价和工程合同资料，根据房权证以及评估人员进行现场勘察核实，确定本次评估对象的工程量为</w:t>
      </w:r>
      <w:r w:rsidRPr="00A214B0">
        <w:rPr>
          <w:rFonts w:ascii="Times New Roman" w:hAnsi="Times New Roman" w:cs="Times New Roman"/>
          <w:color w:val="000000" w:themeColor="text1"/>
          <w:sz w:val="24"/>
          <w:szCs w:val="24"/>
        </w:rPr>
        <w:t>1670</w:t>
      </w:r>
      <w:r w:rsidRPr="00A214B0">
        <w:rPr>
          <w:rFonts w:ascii="Times New Roman" w:hAnsi="Times New Roman" w:cs="Times New Roman"/>
          <w:color w:val="000000" w:themeColor="text1"/>
          <w:sz w:val="24"/>
          <w:szCs w:val="24"/>
        </w:rPr>
        <w:t>平方米。参照《江苏省建筑与装饰工程计价表》（</w:t>
      </w:r>
      <w:r w:rsidRPr="00A214B0">
        <w:rPr>
          <w:rFonts w:ascii="Times New Roman" w:hAnsi="Times New Roman" w:cs="Times New Roman"/>
          <w:color w:val="000000" w:themeColor="text1"/>
          <w:sz w:val="24"/>
          <w:szCs w:val="24"/>
        </w:rPr>
        <w:t>2014</w:t>
      </w:r>
      <w:r w:rsidRPr="00A214B0">
        <w:rPr>
          <w:rFonts w:ascii="Times New Roman" w:hAnsi="Times New Roman" w:cs="Times New Roman"/>
          <w:color w:val="000000" w:themeColor="text1"/>
          <w:sz w:val="24"/>
          <w:szCs w:val="24"/>
        </w:rPr>
        <w:t>年）、《江苏省安装工程计价表》（</w:t>
      </w:r>
      <w:r w:rsidRPr="00A214B0">
        <w:rPr>
          <w:rFonts w:ascii="Times New Roman" w:hAnsi="Times New Roman" w:cs="Times New Roman"/>
          <w:color w:val="000000" w:themeColor="text1"/>
          <w:sz w:val="24"/>
          <w:szCs w:val="24"/>
        </w:rPr>
        <w:t>2014</w:t>
      </w:r>
      <w:r w:rsidRPr="00A214B0">
        <w:rPr>
          <w:rFonts w:ascii="Times New Roman" w:hAnsi="Times New Roman" w:cs="Times New Roman"/>
          <w:color w:val="000000" w:themeColor="text1"/>
          <w:sz w:val="24"/>
          <w:szCs w:val="24"/>
        </w:rPr>
        <w:t>年）的计价体系，测算其建安工程含税造价为</w:t>
      </w:r>
      <w:r w:rsidRPr="00A214B0">
        <w:rPr>
          <w:rFonts w:ascii="Times New Roman" w:hAnsi="Times New Roman" w:cs="Times New Roman"/>
          <w:color w:val="000000" w:themeColor="text1"/>
          <w:sz w:val="24"/>
          <w:szCs w:val="24"/>
        </w:rPr>
        <w:t>2773.93</w:t>
      </w:r>
      <w:r w:rsidRPr="00A214B0">
        <w:rPr>
          <w:rFonts w:ascii="Times New Roman" w:hAnsi="Times New Roman" w:cs="Times New Roman"/>
          <w:color w:val="000000" w:themeColor="text1"/>
          <w:sz w:val="24"/>
          <w:szCs w:val="24"/>
        </w:rPr>
        <w:t>元</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平方米，其中土建造价为</w:t>
      </w:r>
      <w:r w:rsidRPr="00A214B0">
        <w:rPr>
          <w:rFonts w:ascii="Times New Roman" w:hAnsi="Times New Roman" w:cs="Times New Roman"/>
          <w:color w:val="000000" w:themeColor="text1"/>
          <w:sz w:val="24"/>
          <w:szCs w:val="24"/>
        </w:rPr>
        <w:t>1796.03</w:t>
      </w:r>
      <w:r w:rsidRPr="00A214B0">
        <w:rPr>
          <w:rFonts w:ascii="Times New Roman" w:hAnsi="Times New Roman" w:cs="Times New Roman"/>
          <w:color w:val="000000" w:themeColor="text1"/>
          <w:sz w:val="24"/>
          <w:szCs w:val="24"/>
        </w:rPr>
        <w:t>元</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平方米，装修造价</w:t>
      </w:r>
      <w:r w:rsidRPr="00A214B0">
        <w:rPr>
          <w:rFonts w:ascii="Times New Roman" w:hAnsi="Times New Roman" w:cs="Times New Roman"/>
          <w:color w:val="000000" w:themeColor="text1"/>
          <w:sz w:val="24"/>
          <w:szCs w:val="24"/>
        </w:rPr>
        <w:t>708.50</w:t>
      </w:r>
      <w:r w:rsidRPr="00A214B0">
        <w:rPr>
          <w:rFonts w:ascii="Times New Roman" w:hAnsi="Times New Roman" w:cs="Times New Roman"/>
          <w:color w:val="000000" w:themeColor="text1"/>
          <w:sz w:val="24"/>
          <w:szCs w:val="24"/>
        </w:rPr>
        <w:t>元</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平方米，安装造价为</w:t>
      </w:r>
      <w:r w:rsidRPr="00A214B0">
        <w:rPr>
          <w:rFonts w:ascii="Times New Roman" w:hAnsi="Times New Roman" w:cs="Times New Roman"/>
          <w:color w:val="000000" w:themeColor="text1"/>
          <w:sz w:val="24"/>
          <w:szCs w:val="24"/>
        </w:rPr>
        <w:t>269.40</w:t>
      </w:r>
      <w:r w:rsidRPr="00A214B0">
        <w:rPr>
          <w:rFonts w:ascii="Times New Roman" w:hAnsi="Times New Roman" w:cs="Times New Roman"/>
          <w:color w:val="000000" w:themeColor="text1"/>
          <w:sz w:val="24"/>
          <w:szCs w:val="24"/>
        </w:rPr>
        <w:t>元</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平方米。具体计算过程详见下表：</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单方建安造价计算过程：</w:t>
      </w:r>
    </w:p>
    <w:tbl>
      <w:tblPr>
        <w:tblW w:w="9049" w:type="dxa"/>
        <w:tblLayout w:type="fixed"/>
        <w:tblLook w:val="04A0" w:firstRow="1" w:lastRow="0" w:firstColumn="1" w:lastColumn="0" w:noHBand="0" w:noVBand="1"/>
      </w:tblPr>
      <w:tblGrid>
        <w:gridCol w:w="1240"/>
        <w:gridCol w:w="1607"/>
        <w:gridCol w:w="2481"/>
        <w:gridCol w:w="1240"/>
        <w:gridCol w:w="2481"/>
      </w:tblGrid>
      <w:tr w:rsidR="00D56508" w:rsidRPr="00A214B0">
        <w:trPr>
          <w:trHeight w:val="520"/>
          <w:tblHeader/>
        </w:trPr>
        <w:tc>
          <w:tcPr>
            <w:tcW w:w="1240" w:type="dxa"/>
            <w:tcBorders>
              <w:top w:val="single" w:sz="8" w:space="0" w:color="auto"/>
              <w:left w:val="single" w:sz="8" w:space="0" w:color="auto"/>
              <w:bottom w:val="single" w:sz="8"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序号</w:t>
            </w:r>
          </w:p>
        </w:tc>
        <w:tc>
          <w:tcPr>
            <w:tcW w:w="1607" w:type="dxa"/>
            <w:tcBorders>
              <w:top w:val="single" w:sz="8" w:space="0" w:color="auto"/>
              <w:left w:val="nil"/>
              <w:bottom w:val="single" w:sz="8"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费</w:t>
            </w: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用</w:t>
            </w: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名</w:t>
            </w: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称</w:t>
            </w:r>
          </w:p>
        </w:tc>
        <w:tc>
          <w:tcPr>
            <w:tcW w:w="2481" w:type="dxa"/>
            <w:tcBorders>
              <w:top w:val="single" w:sz="8" w:space="0" w:color="auto"/>
              <w:left w:val="nil"/>
              <w:bottom w:val="single" w:sz="8"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计</w:t>
            </w: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算</w:t>
            </w: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方</w:t>
            </w:r>
            <w:r w:rsidRPr="00A214B0">
              <w:rPr>
                <w:rFonts w:ascii="Times New Roman" w:hAnsi="Times New Roman" w:cs="Times New Roman"/>
                <w:b/>
                <w:bCs/>
                <w:color w:val="000000" w:themeColor="text1"/>
                <w:kern w:val="0"/>
                <w:sz w:val="18"/>
                <w:szCs w:val="18"/>
              </w:rPr>
              <w:t xml:space="preserve">    </w:t>
            </w:r>
            <w:r w:rsidRPr="00A214B0">
              <w:rPr>
                <w:rFonts w:ascii="Times New Roman" w:hAnsi="Times New Roman" w:cs="Times New Roman"/>
                <w:b/>
                <w:bCs/>
                <w:color w:val="000000" w:themeColor="text1"/>
                <w:kern w:val="0"/>
                <w:sz w:val="18"/>
                <w:szCs w:val="18"/>
              </w:rPr>
              <w:t>法</w:t>
            </w:r>
          </w:p>
        </w:tc>
        <w:tc>
          <w:tcPr>
            <w:tcW w:w="1240" w:type="dxa"/>
            <w:tcBorders>
              <w:top w:val="single" w:sz="8" w:space="0" w:color="auto"/>
              <w:left w:val="nil"/>
              <w:bottom w:val="single" w:sz="8"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费率</w:t>
            </w:r>
          </w:p>
        </w:tc>
        <w:tc>
          <w:tcPr>
            <w:tcW w:w="2481" w:type="dxa"/>
            <w:tcBorders>
              <w:top w:val="single" w:sz="8" w:space="0" w:color="auto"/>
              <w:left w:val="nil"/>
              <w:bottom w:val="single" w:sz="8"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金额</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分部分项工程费</w:t>
            </w:r>
          </w:p>
        </w:tc>
        <w:tc>
          <w:tcPr>
            <w:tcW w:w="248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(1)+(2)+(3)+(4)+(5)</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nil"/>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1,102.82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人工费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153.60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材料费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845.99 </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施工机具使用费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32.52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企业管理费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(1)+(3)</w:t>
            </w:r>
          </w:p>
        </w:tc>
        <w:tc>
          <w:tcPr>
            <w:tcW w:w="1240"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26%</w:t>
            </w:r>
          </w:p>
        </w:tc>
        <w:tc>
          <w:tcPr>
            <w:tcW w:w="2481" w:type="dxa"/>
            <w:tcBorders>
              <w:top w:val="single" w:sz="4" w:space="0" w:color="auto"/>
              <w:left w:val="single" w:sz="4" w:space="0" w:color="auto"/>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48.39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利润</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(1)+(3)</w:t>
            </w:r>
          </w:p>
        </w:tc>
        <w:tc>
          <w:tcPr>
            <w:tcW w:w="1240"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w:t>
            </w:r>
          </w:p>
        </w:tc>
        <w:tc>
          <w:tcPr>
            <w:tcW w:w="2481" w:type="dxa"/>
            <w:tcBorders>
              <w:top w:val="single" w:sz="4" w:space="0" w:color="auto"/>
              <w:left w:val="single" w:sz="4" w:space="0" w:color="auto"/>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22.33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措施项目费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(6)+(7)</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277.14 </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现场文明施工费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4.63%</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51.06 </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混凝土模板及其他</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20.50%</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226.08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三</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规费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(8)+(9)</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52.85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社会保险费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3.20%</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44.16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9</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工程排污费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0.10%</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1.38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住房公积金</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0.53%</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7.31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四</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其他项目费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0.00 </w:t>
            </w:r>
          </w:p>
        </w:tc>
      </w:tr>
      <w:tr w:rsidR="00D56508" w:rsidRPr="00A214B0">
        <w:trPr>
          <w:trHeight w:val="3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建筑工程造价</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三</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四</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1,432.81 </w:t>
            </w:r>
          </w:p>
        </w:tc>
      </w:tr>
      <w:tr w:rsidR="00D56508" w:rsidRPr="00A214B0">
        <w:trPr>
          <w:trHeight w:val="31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六</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参考修正系数</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1.1500 </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七</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修正后的建筑工程造价</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五</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六</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1,647.73 </w:t>
            </w:r>
          </w:p>
        </w:tc>
      </w:tr>
      <w:tr w:rsidR="00D56508" w:rsidRPr="00A214B0">
        <w:trPr>
          <w:trHeight w:val="3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八</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安装工程造价</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247.16 </w:t>
            </w:r>
          </w:p>
        </w:tc>
      </w:tr>
      <w:tr w:rsidR="00D56508" w:rsidRPr="00A214B0">
        <w:trPr>
          <w:trHeight w:val="3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九</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装修费</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650.00 </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十</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不含税建安工程造价</w:t>
            </w:r>
          </w:p>
        </w:tc>
        <w:tc>
          <w:tcPr>
            <w:tcW w:w="24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八</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九</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nil"/>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2,544.89 </w:t>
            </w:r>
          </w:p>
        </w:tc>
      </w:tr>
      <w:tr w:rsidR="00D56508" w:rsidRPr="00A214B0">
        <w:trPr>
          <w:trHeight w:val="520"/>
        </w:trPr>
        <w:tc>
          <w:tcPr>
            <w:tcW w:w="1240"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十一</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建安工程应纳增值税额</w:t>
            </w:r>
          </w:p>
        </w:tc>
        <w:tc>
          <w:tcPr>
            <w:tcW w:w="248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十）</w:t>
            </w:r>
          </w:p>
        </w:tc>
        <w:tc>
          <w:tcPr>
            <w:tcW w:w="1240"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9.00%</w:t>
            </w:r>
          </w:p>
        </w:tc>
        <w:tc>
          <w:tcPr>
            <w:tcW w:w="2481" w:type="dxa"/>
            <w:tcBorders>
              <w:top w:val="single" w:sz="4" w:space="0" w:color="auto"/>
              <w:left w:val="single" w:sz="4" w:space="0" w:color="auto"/>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22</w:t>
            </w:r>
            <w:r w:rsidRPr="00A214B0">
              <w:rPr>
                <w:rFonts w:ascii="Times New Roman" w:hAnsi="Times New Roman" w:cs="Times New Roman" w:hint="eastAsia"/>
                <w:color w:val="000000" w:themeColor="text1"/>
                <w:kern w:val="0"/>
                <w:sz w:val="18"/>
                <w:szCs w:val="18"/>
              </w:rPr>
              <w:t xml:space="preserve">  9.03  </w:t>
            </w:r>
            <w:r w:rsidRPr="00A214B0">
              <w:rPr>
                <w:rFonts w:ascii="Times New Roman" w:hAnsi="Times New Roman" w:cs="Times New Roman"/>
                <w:color w:val="000000" w:themeColor="text1"/>
                <w:kern w:val="0"/>
                <w:sz w:val="18"/>
                <w:szCs w:val="18"/>
              </w:rPr>
              <w:t xml:space="preserve"> </w:t>
            </w:r>
          </w:p>
        </w:tc>
      </w:tr>
      <w:tr w:rsidR="00D56508" w:rsidRPr="00A214B0">
        <w:trPr>
          <w:trHeight w:val="510"/>
        </w:trPr>
        <w:tc>
          <w:tcPr>
            <w:tcW w:w="1240" w:type="dxa"/>
            <w:tcBorders>
              <w:top w:val="nil"/>
              <w:left w:val="single" w:sz="8"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十二</w:t>
            </w:r>
          </w:p>
        </w:tc>
        <w:tc>
          <w:tcPr>
            <w:tcW w:w="160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含税建安费用</w:t>
            </w:r>
          </w:p>
        </w:tc>
        <w:tc>
          <w:tcPr>
            <w:tcW w:w="2481"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十</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十一</w:t>
            </w:r>
            <w:r w:rsidRPr="00A214B0">
              <w:rPr>
                <w:rFonts w:ascii="Times New Roman" w:hAnsi="Times New Roman" w:cs="Times New Roman"/>
                <w:color w:val="000000" w:themeColor="text1"/>
                <w:kern w:val="0"/>
                <w:sz w:val="18"/>
                <w:szCs w:val="18"/>
              </w:rPr>
              <w:t>)</w:t>
            </w:r>
          </w:p>
        </w:tc>
        <w:tc>
          <w:tcPr>
            <w:tcW w:w="1240"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2481" w:type="dxa"/>
            <w:tcBorders>
              <w:top w:val="single" w:sz="4" w:space="0" w:color="auto"/>
              <w:left w:val="single" w:sz="4" w:space="0" w:color="auto"/>
              <w:bottom w:val="single" w:sz="4" w:space="0" w:color="auto"/>
              <w:right w:val="single" w:sz="8" w:space="0" w:color="000000"/>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2,773.93 </w:t>
            </w:r>
          </w:p>
        </w:tc>
      </w:tr>
    </w:tbl>
    <w:p w:rsidR="00D56508" w:rsidRPr="00A214B0" w:rsidRDefault="00D56508">
      <w:pPr>
        <w:autoSpaceDE w:val="0"/>
        <w:autoSpaceDN w:val="0"/>
        <w:ind w:firstLineChars="200" w:firstLine="480"/>
        <w:jc w:val="left"/>
        <w:rPr>
          <w:rFonts w:ascii="Times New Roman" w:hAnsi="Times New Roman" w:cs="Times New Roman"/>
          <w:color w:val="000000" w:themeColor="text1"/>
          <w:sz w:val="24"/>
          <w:szCs w:val="24"/>
        </w:rPr>
      </w:pPr>
    </w:p>
    <w:p w:rsidR="00D56508" w:rsidRPr="00A214B0" w:rsidRDefault="00F1265B">
      <w:pPr>
        <w:autoSpaceDE w:val="0"/>
        <w:autoSpaceDN w:val="0"/>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重置全价计算过程：</w:t>
      </w:r>
    </w:p>
    <w:tbl>
      <w:tblPr>
        <w:tblW w:w="9049" w:type="dxa"/>
        <w:jc w:val="center"/>
        <w:tblLayout w:type="fixed"/>
        <w:tblLook w:val="04A0" w:firstRow="1" w:lastRow="0" w:firstColumn="1" w:lastColumn="0" w:noHBand="0" w:noVBand="1"/>
      </w:tblPr>
      <w:tblGrid>
        <w:gridCol w:w="1046"/>
        <w:gridCol w:w="1928"/>
        <w:gridCol w:w="2348"/>
        <w:gridCol w:w="1287"/>
        <w:gridCol w:w="2440"/>
      </w:tblGrid>
      <w:tr w:rsidR="00D56508" w:rsidRPr="00A214B0">
        <w:trPr>
          <w:trHeight w:val="20"/>
          <w:tblHeader/>
          <w:jc w:val="center"/>
        </w:trPr>
        <w:tc>
          <w:tcPr>
            <w:tcW w:w="1046" w:type="dxa"/>
            <w:tcBorders>
              <w:top w:val="single" w:sz="8" w:space="0" w:color="auto"/>
              <w:left w:val="single" w:sz="8" w:space="0" w:color="auto"/>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序号</w:t>
            </w:r>
          </w:p>
        </w:tc>
        <w:tc>
          <w:tcPr>
            <w:tcW w:w="1928" w:type="dxa"/>
            <w:tcBorders>
              <w:top w:val="single" w:sz="8" w:space="0" w:color="auto"/>
              <w:left w:val="nil"/>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费</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用</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名</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称</w:t>
            </w:r>
          </w:p>
        </w:tc>
        <w:tc>
          <w:tcPr>
            <w:tcW w:w="2348" w:type="dxa"/>
            <w:tcBorders>
              <w:top w:val="single" w:sz="8" w:space="0" w:color="auto"/>
              <w:left w:val="nil"/>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计</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费</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基</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数</w:t>
            </w:r>
          </w:p>
        </w:tc>
        <w:tc>
          <w:tcPr>
            <w:tcW w:w="1287" w:type="dxa"/>
            <w:tcBorders>
              <w:top w:val="single" w:sz="8" w:space="0" w:color="auto"/>
              <w:left w:val="nil"/>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费率</w:t>
            </w:r>
          </w:p>
        </w:tc>
        <w:tc>
          <w:tcPr>
            <w:tcW w:w="2440" w:type="dxa"/>
            <w:tcBorders>
              <w:top w:val="single" w:sz="8" w:space="0" w:color="auto"/>
              <w:left w:val="nil"/>
              <w:bottom w:val="single" w:sz="8" w:space="0" w:color="auto"/>
              <w:right w:val="single" w:sz="8"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金额</w:t>
            </w:r>
          </w:p>
        </w:tc>
      </w:tr>
      <w:tr w:rsidR="00D56508" w:rsidRPr="00A214B0">
        <w:trPr>
          <w:trHeight w:val="20"/>
          <w:jc w:val="center"/>
        </w:trPr>
        <w:tc>
          <w:tcPr>
            <w:tcW w:w="1046" w:type="dxa"/>
            <w:tcBorders>
              <w:top w:val="single" w:sz="4" w:space="0" w:color="auto"/>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一、</w:t>
            </w:r>
          </w:p>
        </w:tc>
        <w:tc>
          <w:tcPr>
            <w:tcW w:w="1928"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单位建安工程造价</w:t>
            </w:r>
          </w:p>
        </w:tc>
        <w:tc>
          <w:tcPr>
            <w:tcW w:w="2348" w:type="dxa"/>
            <w:tcBorders>
              <w:top w:val="single" w:sz="4" w:space="0" w:color="auto"/>
              <w:left w:val="nil"/>
              <w:bottom w:val="single" w:sz="4" w:space="0" w:color="auto"/>
              <w:right w:val="single" w:sz="4" w:space="0" w:color="auto"/>
            </w:tcBorders>
            <w:vAlign w:val="center"/>
          </w:tcPr>
          <w:p w:rsidR="00D56508" w:rsidRPr="00A214B0" w:rsidRDefault="00D56508">
            <w:pPr>
              <w:widowControl/>
              <w:jc w:val="center"/>
              <w:rPr>
                <w:rFonts w:ascii="Times New Roman" w:hAnsi="Times New Roman" w:cs="Times New Roman"/>
                <w:color w:val="000000" w:themeColor="text1"/>
                <w:kern w:val="0"/>
                <w:sz w:val="18"/>
                <w:szCs w:val="18"/>
              </w:rPr>
            </w:pPr>
          </w:p>
        </w:tc>
        <w:tc>
          <w:tcPr>
            <w:tcW w:w="1287"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2440" w:type="dxa"/>
            <w:tcBorders>
              <w:top w:val="single" w:sz="4" w:space="0" w:color="auto"/>
              <w:left w:val="nil"/>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2,773.93</w:t>
            </w:r>
            <w:r w:rsidRPr="00A214B0">
              <w:rPr>
                <w:rFonts w:ascii="Times New Roman" w:hAnsi="Times New Roman" w:cs="Times New Roman"/>
                <w:b/>
                <w:bCs/>
                <w:color w:val="000000" w:themeColor="text1"/>
                <w:kern w:val="0"/>
                <w:sz w:val="18"/>
                <w:szCs w:val="18"/>
              </w:rPr>
              <w:t>元</w:t>
            </w:r>
            <w:r w:rsidRPr="00A214B0">
              <w:rPr>
                <w:rFonts w:ascii="Times New Roman" w:hAnsi="Times New Roman" w:cs="Times New Roman"/>
                <w:b/>
                <w:bCs/>
                <w:color w:val="000000" w:themeColor="text1"/>
                <w:kern w:val="0"/>
                <w:sz w:val="18"/>
                <w:szCs w:val="18"/>
              </w:rPr>
              <w:t>/</w:t>
            </w:r>
            <w:r w:rsidRPr="00A214B0">
              <w:rPr>
                <w:rFonts w:ascii="Times New Roman" w:hAnsi="Times New Roman" w:cs="Times New Roman"/>
                <w:b/>
                <w:bCs/>
                <w:color w:val="000000" w:themeColor="text1"/>
                <w:kern w:val="0"/>
                <w:sz w:val="18"/>
                <w:szCs w:val="18"/>
              </w:rPr>
              <w:t>平方米</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二、</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建安工程造价</w:t>
            </w:r>
          </w:p>
        </w:tc>
        <w:tc>
          <w:tcPr>
            <w:tcW w:w="2348"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 xml:space="preserve"> </w:t>
            </w:r>
            <w:r w:rsidRPr="00A214B0">
              <w:rPr>
                <w:rFonts w:ascii="Times New Roman" w:eastAsia="Malgun Gothic Semilight" w:hAnsi="Times New Roman" w:cs="Times New Roman"/>
                <w:color w:val="000000" w:themeColor="text1"/>
                <w:kern w:val="0"/>
                <w:sz w:val="18"/>
                <w:szCs w:val="18"/>
              </w:rPr>
              <w:t xml:space="preserve">ⅹ </w:t>
            </w:r>
            <w:r w:rsidRPr="00A214B0">
              <w:rPr>
                <w:rFonts w:ascii="Times New Roman" w:eastAsia="微软雅黑" w:hAnsi="Times New Roman" w:cs="Times New Roman"/>
                <w:color w:val="000000" w:themeColor="text1"/>
                <w:kern w:val="0"/>
                <w:sz w:val="18"/>
                <w:szCs w:val="18"/>
              </w:rPr>
              <w:t>建筑面积</w:t>
            </w:r>
          </w:p>
        </w:tc>
        <w:tc>
          <w:tcPr>
            <w:tcW w:w="1287"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1670</w:t>
            </w:r>
            <w:r w:rsidRPr="00A214B0">
              <w:rPr>
                <w:rFonts w:ascii="Times New Roman" w:hAnsi="Times New Roman" w:cs="Times New Roman"/>
                <w:b/>
                <w:bCs/>
                <w:color w:val="000000" w:themeColor="text1"/>
                <w:kern w:val="0"/>
                <w:sz w:val="18"/>
                <w:szCs w:val="18"/>
              </w:rPr>
              <w:t>平方米</w:t>
            </w:r>
          </w:p>
        </w:tc>
        <w:tc>
          <w:tcPr>
            <w:tcW w:w="2440" w:type="dxa"/>
            <w:tcBorders>
              <w:top w:val="single" w:sz="4" w:space="0" w:color="auto"/>
              <w:left w:val="nil"/>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4,632,462.36</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三、</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建安工程造价增值税</w:t>
            </w:r>
          </w:p>
        </w:tc>
        <w:tc>
          <w:tcPr>
            <w:tcW w:w="2348"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1+9%</w:t>
            </w:r>
            <w:r w:rsidRPr="00A214B0">
              <w:rPr>
                <w:rFonts w:ascii="Times New Roman" w:hAnsi="Times New Roman" w:cs="Times New Roman"/>
                <w:color w:val="000000" w:themeColor="text1"/>
                <w:kern w:val="0"/>
                <w:sz w:val="18"/>
                <w:szCs w:val="18"/>
              </w:rPr>
              <w:t>）</w:t>
            </w:r>
          </w:p>
        </w:tc>
        <w:tc>
          <w:tcPr>
            <w:tcW w:w="1287"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9.00%</w:t>
            </w:r>
          </w:p>
        </w:tc>
        <w:tc>
          <w:tcPr>
            <w:tcW w:w="2440"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382,496.89</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四、</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前期费用及配套规费</w:t>
            </w:r>
          </w:p>
        </w:tc>
        <w:tc>
          <w:tcPr>
            <w:tcW w:w="2348"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w:t>
            </w:r>
          </w:p>
        </w:tc>
        <w:tc>
          <w:tcPr>
            <w:tcW w:w="1287"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2440"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423,719.55</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前期费用</w:t>
            </w:r>
          </w:p>
        </w:tc>
        <w:tc>
          <w:tcPr>
            <w:tcW w:w="2348"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 xml:space="preserve"> ⅹ </w:t>
            </w:r>
            <w:r w:rsidRPr="00A214B0">
              <w:rPr>
                <w:rFonts w:ascii="Times New Roman" w:hAnsi="Times New Roman" w:cs="Times New Roman"/>
                <w:color w:val="000000" w:themeColor="text1"/>
                <w:kern w:val="0"/>
                <w:sz w:val="18"/>
                <w:szCs w:val="18"/>
              </w:rPr>
              <w:t>前期费率</w:t>
            </w:r>
          </w:p>
        </w:tc>
        <w:tc>
          <w:tcPr>
            <w:tcW w:w="1287"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6.443%</w:t>
            </w:r>
          </w:p>
        </w:tc>
        <w:tc>
          <w:tcPr>
            <w:tcW w:w="2440"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298,469.55</w:t>
            </w:r>
            <w:r w:rsidRPr="00A214B0">
              <w:rPr>
                <w:rFonts w:ascii="Times New Roman" w:hAnsi="Times New Roman" w:cs="Times New Roman"/>
                <w:color w:val="000000" w:themeColor="text1"/>
                <w:kern w:val="0"/>
                <w:sz w:val="18"/>
                <w:szCs w:val="18"/>
              </w:rPr>
              <w:t>元</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righ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配套规费</w:t>
            </w:r>
          </w:p>
        </w:tc>
        <w:tc>
          <w:tcPr>
            <w:tcW w:w="2348"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 xml:space="preserve"> ⅹ </w:t>
            </w:r>
            <w:r w:rsidRPr="00A214B0">
              <w:rPr>
                <w:rFonts w:ascii="Times New Roman" w:hAnsi="Times New Roman" w:cs="Times New Roman"/>
                <w:color w:val="000000" w:themeColor="text1"/>
                <w:kern w:val="0"/>
                <w:sz w:val="18"/>
                <w:szCs w:val="18"/>
              </w:rPr>
              <w:t>配套规费</w:t>
            </w:r>
          </w:p>
        </w:tc>
        <w:tc>
          <w:tcPr>
            <w:tcW w:w="1287"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75.00</w:t>
            </w:r>
            <w:r w:rsidRPr="00A214B0">
              <w:rPr>
                <w:rFonts w:ascii="Times New Roman" w:hAnsi="Times New Roman" w:cs="Times New Roman"/>
                <w:color w:val="000000" w:themeColor="text1"/>
                <w:kern w:val="0"/>
                <w:sz w:val="18"/>
                <w:szCs w:val="18"/>
              </w:rPr>
              <w:t>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平方米</w:t>
            </w:r>
          </w:p>
        </w:tc>
        <w:tc>
          <w:tcPr>
            <w:tcW w:w="2440"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125,250.00</w:t>
            </w:r>
            <w:r w:rsidRPr="00A214B0">
              <w:rPr>
                <w:rFonts w:ascii="Times New Roman" w:hAnsi="Times New Roman" w:cs="Times New Roman"/>
                <w:color w:val="000000" w:themeColor="text1"/>
                <w:kern w:val="0"/>
                <w:sz w:val="18"/>
                <w:szCs w:val="18"/>
              </w:rPr>
              <w:t>元</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五、</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前期费用增值税</w:t>
            </w:r>
          </w:p>
        </w:tc>
        <w:tc>
          <w:tcPr>
            <w:tcW w:w="2348"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6.443%-1.080%</w:t>
            </w:r>
            <w:r w:rsidRPr="00A214B0">
              <w:rPr>
                <w:rFonts w:ascii="Times New Roman" w:hAnsi="Times New Roman" w:cs="Times New Roman"/>
                <w:color w:val="000000" w:themeColor="text1"/>
                <w:kern w:val="0"/>
                <w:sz w:val="18"/>
                <w:szCs w:val="18"/>
              </w:rPr>
              <w:t>）</w:t>
            </w:r>
          </w:p>
        </w:tc>
        <w:tc>
          <w:tcPr>
            <w:tcW w:w="1287"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6.00%</w:t>
            </w:r>
          </w:p>
        </w:tc>
        <w:tc>
          <w:tcPr>
            <w:tcW w:w="2440"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14,062.58</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1046"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六、</w:t>
            </w:r>
          </w:p>
        </w:tc>
        <w:tc>
          <w:tcPr>
            <w:tcW w:w="1928"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资金成本</w:t>
            </w:r>
          </w:p>
        </w:tc>
        <w:tc>
          <w:tcPr>
            <w:tcW w:w="2348"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四</w:t>
            </w:r>
          </w:p>
        </w:tc>
        <w:tc>
          <w:tcPr>
            <w:tcW w:w="1287"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4.35%/2</w:t>
            </w:r>
          </w:p>
        </w:tc>
        <w:tc>
          <w:tcPr>
            <w:tcW w:w="2440"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109,971.96</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1046"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七、</w:t>
            </w:r>
          </w:p>
        </w:tc>
        <w:tc>
          <w:tcPr>
            <w:tcW w:w="1928"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不含增值重置全价</w:t>
            </w:r>
            <w:r w:rsidRPr="00A214B0">
              <w:rPr>
                <w:rFonts w:ascii="Times New Roman" w:hAnsi="Times New Roman" w:cs="Times New Roman" w:hint="eastAsia"/>
                <w:b/>
                <w:bCs/>
                <w:color w:val="000000" w:themeColor="text1"/>
                <w:kern w:val="0"/>
                <w:sz w:val="18"/>
                <w:szCs w:val="18"/>
              </w:rPr>
              <w:t>（取整）</w:t>
            </w:r>
          </w:p>
        </w:tc>
        <w:tc>
          <w:tcPr>
            <w:tcW w:w="2348"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四</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六</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三</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五</w:t>
            </w:r>
          </w:p>
        </w:tc>
        <w:tc>
          <w:tcPr>
            <w:tcW w:w="1287"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2440"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hint="eastAsia"/>
                <w:b/>
                <w:bCs/>
                <w:color w:val="000000" w:themeColor="text1"/>
                <w:kern w:val="0"/>
                <w:sz w:val="18"/>
                <w:szCs w:val="18"/>
              </w:rPr>
              <w:t xml:space="preserve"> 4,769,600.00 </w:t>
            </w:r>
            <w:r w:rsidRPr="00A214B0">
              <w:rPr>
                <w:rFonts w:ascii="Times New Roman" w:hAnsi="Times New Roman" w:cs="Times New Roman"/>
                <w:b/>
                <w:bCs/>
                <w:color w:val="000000" w:themeColor="text1"/>
                <w:kern w:val="0"/>
                <w:sz w:val="18"/>
                <w:szCs w:val="18"/>
              </w:rPr>
              <w:t>元</w:t>
            </w:r>
          </w:p>
        </w:tc>
      </w:tr>
    </w:tbl>
    <w:p w:rsidR="00D56508" w:rsidRPr="00A214B0" w:rsidRDefault="00F1265B" w:rsidP="00126AB4">
      <w:pPr>
        <w:autoSpaceDE w:val="0"/>
        <w:autoSpaceDN w:val="0"/>
        <w:adjustRightInd w:val="0"/>
        <w:snapToGrid w:val="0"/>
        <w:spacing w:beforeLines="50" w:before="250"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）成新率的确定</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）年限法成新率</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该房屋建筑物建成于</w:t>
      </w:r>
      <w:r w:rsidRPr="00A214B0">
        <w:rPr>
          <w:rFonts w:ascii="Times New Roman" w:hAnsi="Times New Roman" w:cs="Times New Roman"/>
          <w:color w:val="000000" w:themeColor="text1"/>
          <w:sz w:val="24"/>
          <w:szCs w:val="24"/>
        </w:rPr>
        <w:t>2008</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9</w:t>
      </w:r>
      <w:r w:rsidRPr="00A214B0">
        <w:rPr>
          <w:rFonts w:ascii="Times New Roman" w:hAnsi="Times New Roman" w:cs="Times New Roman"/>
          <w:color w:val="000000" w:themeColor="text1"/>
          <w:sz w:val="24"/>
          <w:szCs w:val="24"/>
        </w:rPr>
        <w:t>月，截止评估基准日已使用</w:t>
      </w:r>
      <w:r w:rsidRPr="00A214B0">
        <w:rPr>
          <w:rFonts w:ascii="Times New Roman" w:hAnsi="Times New Roman" w:cs="Times New Roman"/>
          <w:color w:val="000000" w:themeColor="text1"/>
          <w:sz w:val="24"/>
          <w:szCs w:val="24"/>
        </w:rPr>
        <w:t>10.59</w:t>
      </w:r>
      <w:r w:rsidRPr="00A214B0">
        <w:rPr>
          <w:rFonts w:ascii="Times New Roman" w:hAnsi="Times New Roman" w:cs="Times New Roman"/>
          <w:color w:val="000000" w:themeColor="text1"/>
          <w:sz w:val="24"/>
          <w:szCs w:val="24"/>
        </w:rPr>
        <w:t>年，委估房屋为生产性用房，框架结构，理论年限设定为</w:t>
      </w:r>
      <w:r w:rsidRPr="00A214B0">
        <w:rPr>
          <w:rFonts w:ascii="Times New Roman" w:hAnsi="Times New Roman" w:cs="Times New Roman"/>
          <w:color w:val="000000" w:themeColor="text1"/>
          <w:sz w:val="24"/>
          <w:szCs w:val="24"/>
        </w:rPr>
        <w:t>50</w:t>
      </w:r>
      <w:r w:rsidRPr="00A214B0">
        <w:rPr>
          <w:rFonts w:ascii="Times New Roman" w:hAnsi="Times New Roman" w:cs="Times New Roman"/>
          <w:color w:val="000000" w:themeColor="text1"/>
          <w:sz w:val="24"/>
          <w:szCs w:val="24"/>
        </w:rPr>
        <w:t>年。本次房屋涉及的土地使用权剩余年限为</w:t>
      </w:r>
      <w:r w:rsidRPr="00A214B0">
        <w:rPr>
          <w:rFonts w:ascii="Times New Roman" w:hAnsi="Times New Roman" w:cs="Times New Roman"/>
          <w:color w:val="000000" w:themeColor="text1"/>
          <w:sz w:val="24"/>
          <w:szCs w:val="24"/>
        </w:rPr>
        <w:t>36.78</w:t>
      </w:r>
      <w:r w:rsidRPr="00A214B0">
        <w:rPr>
          <w:rFonts w:ascii="Times New Roman" w:hAnsi="Times New Roman" w:cs="Times New Roman"/>
          <w:color w:val="000000" w:themeColor="text1"/>
          <w:sz w:val="24"/>
          <w:szCs w:val="24"/>
        </w:rPr>
        <w:t>年，故本次尚可使用年限为</w:t>
      </w:r>
      <w:r w:rsidRPr="00A214B0">
        <w:rPr>
          <w:rFonts w:ascii="Times New Roman" w:hAnsi="Times New Roman" w:cs="Times New Roman"/>
          <w:color w:val="000000" w:themeColor="text1"/>
          <w:sz w:val="24"/>
          <w:szCs w:val="24"/>
        </w:rPr>
        <w:t>36.78</w:t>
      </w:r>
      <w:r w:rsidRPr="00A214B0">
        <w:rPr>
          <w:rFonts w:ascii="Times New Roman" w:hAnsi="Times New Roman" w:cs="Times New Roman"/>
          <w:color w:val="000000" w:themeColor="text1"/>
          <w:sz w:val="24"/>
          <w:szCs w:val="24"/>
        </w:rPr>
        <w:t>年。则：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年限法成新率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尚可使用年限））</w:t>
      </w:r>
      <w:r w:rsidRPr="00A214B0">
        <w:rPr>
          <w:rFonts w:ascii="Times New Roman" w:hAnsi="Times New Roman" w:cs="Times New Roman"/>
          <w:color w:val="000000" w:themeColor="text1"/>
          <w:sz w:val="24"/>
          <w:szCs w:val="24"/>
        </w:rPr>
        <w:t>×100%</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1-10.59/</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10.59+36.78</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×100%</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=78%</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w:t>
      </w:r>
      <w:bookmarkStart w:id="70" w:name="_Hlk489552324"/>
      <w:r w:rsidRPr="00A214B0">
        <w:rPr>
          <w:rFonts w:ascii="Times New Roman" w:hAnsi="Times New Roman" w:cs="Times New Roman" w:hint="eastAsia"/>
          <w:color w:val="000000" w:themeColor="text1"/>
          <w:sz w:val="24"/>
          <w:szCs w:val="24"/>
        </w:rPr>
        <w:t>完好分值法成新率</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通过对建筑物结构、装饰、设备三部分进行勘查，向产权持有单位了解委估资产的使用现状，维修保养，使用环境，使用强度等，然后对结构部分、装饰部分和设备工程分别进行打分，并依据建筑物成本构成、各部分的使用年限，确定三部分权重，确定其</w:t>
      </w:r>
      <w:r w:rsidRPr="00A214B0">
        <w:rPr>
          <w:rFonts w:ascii="Times New Roman" w:hAnsi="Times New Roman" w:cs="Times New Roman" w:hint="eastAsia"/>
          <w:color w:val="000000" w:themeColor="text1"/>
          <w:sz w:val="24"/>
          <w:szCs w:val="24"/>
        </w:rPr>
        <w:t>完好分值法成新率</w:t>
      </w:r>
      <w:r w:rsidRPr="00A214B0">
        <w:rPr>
          <w:rFonts w:ascii="Times New Roman" w:hAnsi="Times New Roman" w:cs="Times New Roman"/>
          <w:color w:val="000000" w:themeColor="text1"/>
          <w:sz w:val="24"/>
          <w:szCs w:val="24"/>
        </w:rPr>
        <w:t>。</w:t>
      </w:r>
      <w:bookmarkEnd w:id="70"/>
      <w:r w:rsidRPr="00A214B0">
        <w:rPr>
          <w:rFonts w:ascii="Times New Roman" w:hAnsi="Times New Roman" w:cs="Times New Roman"/>
          <w:color w:val="000000" w:themeColor="text1"/>
          <w:sz w:val="24"/>
          <w:szCs w:val="24"/>
        </w:rPr>
        <w:t>如下表：</w:t>
      </w:r>
    </w:p>
    <w:p w:rsidR="00D56508" w:rsidRPr="00A214B0" w:rsidRDefault="00F1265B">
      <w:pPr>
        <w:autoSpaceDE w:val="0"/>
        <w:autoSpaceDN w:val="0"/>
        <w:ind w:firstLineChars="200" w:firstLine="482"/>
        <w:jc w:val="center"/>
        <w:rPr>
          <w:rFonts w:ascii="Times New Roman" w:hAnsi="Times New Roman" w:cs="Times New Roman"/>
          <w:b/>
          <w:color w:val="000000" w:themeColor="text1"/>
          <w:sz w:val="24"/>
          <w:szCs w:val="24"/>
        </w:rPr>
      </w:pPr>
      <w:r w:rsidRPr="00A214B0">
        <w:rPr>
          <w:rFonts w:ascii="Times New Roman" w:hAnsi="Times New Roman" w:cs="Times New Roman"/>
          <w:b/>
          <w:color w:val="000000" w:themeColor="text1"/>
          <w:sz w:val="24"/>
          <w:szCs w:val="24"/>
        </w:rPr>
        <w:t>房屋构筑物评估</w:t>
      </w:r>
      <w:r w:rsidRPr="00A214B0">
        <w:rPr>
          <w:rFonts w:ascii="Times New Roman" w:hAnsi="Times New Roman" w:cs="Times New Roman" w:hint="eastAsia"/>
          <w:b/>
          <w:color w:val="000000" w:themeColor="text1"/>
          <w:sz w:val="24"/>
          <w:szCs w:val="24"/>
        </w:rPr>
        <w:t>完好分值法成新率</w:t>
      </w:r>
      <w:r w:rsidRPr="00A214B0">
        <w:rPr>
          <w:rFonts w:ascii="Times New Roman" w:hAnsi="Times New Roman" w:cs="Times New Roman"/>
          <w:b/>
          <w:color w:val="000000" w:themeColor="text1"/>
          <w:sz w:val="24"/>
          <w:szCs w:val="24"/>
        </w:rPr>
        <w:t>鉴定表</w:t>
      </w:r>
    </w:p>
    <w:tbl>
      <w:tblPr>
        <w:tblW w:w="9049" w:type="dxa"/>
        <w:tblLayout w:type="fixed"/>
        <w:tblLook w:val="04A0" w:firstRow="1" w:lastRow="0" w:firstColumn="1" w:lastColumn="0" w:noHBand="0" w:noVBand="1"/>
      </w:tblPr>
      <w:tblGrid>
        <w:gridCol w:w="650"/>
        <w:gridCol w:w="1513"/>
        <w:gridCol w:w="1148"/>
        <w:gridCol w:w="4809"/>
        <w:gridCol w:w="929"/>
      </w:tblGrid>
      <w:tr w:rsidR="00D56508" w:rsidRPr="00A214B0">
        <w:trPr>
          <w:cantSplit/>
          <w:trHeight w:val="592"/>
          <w:tblHeader/>
        </w:trPr>
        <w:tc>
          <w:tcPr>
            <w:tcW w:w="2163" w:type="dxa"/>
            <w:gridSpan w:val="2"/>
            <w:tcBorders>
              <w:top w:val="single" w:sz="8" w:space="0" w:color="000000"/>
              <w:left w:val="single" w:sz="8" w:space="0" w:color="000000"/>
              <w:bottom w:val="single" w:sz="8" w:space="0" w:color="000000"/>
              <w:right w:val="single" w:sz="8" w:space="0" w:color="000000"/>
            </w:tcBorders>
            <w:vAlign w:val="center"/>
          </w:tcPr>
          <w:p w:rsidR="00D56508" w:rsidRPr="00A214B0" w:rsidRDefault="00F1265B">
            <w:pPr>
              <w:autoSpaceDE w:val="0"/>
              <w:autoSpaceDN w:val="0"/>
              <w:ind w:firstLineChars="200" w:firstLine="361"/>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工程名称</w:t>
            </w:r>
          </w:p>
        </w:tc>
        <w:tc>
          <w:tcPr>
            <w:tcW w:w="1148" w:type="dxa"/>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标准分</w:t>
            </w:r>
          </w:p>
        </w:tc>
        <w:tc>
          <w:tcPr>
            <w:tcW w:w="4809" w:type="dxa"/>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ind w:firstLineChars="200" w:firstLine="361"/>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具体情况</w:t>
            </w:r>
          </w:p>
        </w:tc>
        <w:tc>
          <w:tcPr>
            <w:tcW w:w="929" w:type="dxa"/>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评定分</w:t>
            </w:r>
          </w:p>
        </w:tc>
      </w:tr>
      <w:tr w:rsidR="00D56508" w:rsidRPr="00A214B0">
        <w:trPr>
          <w:cantSplit/>
          <w:trHeight w:val="329"/>
        </w:trPr>
        <w:tc>
          <w:tcPr>
            <w:tcW w:w="650" w:type="dxa"/>
            <w:vMerge w:val="restart"/>
            <w:tcBorders>
              <w:top w:val="nil"/>
              <w:left w:val="single" w:sz="8" w:space="0" w:color="000000"/>
              <w:bottom w:val="single" w:sz="8" w:space="0" w:color="000000"/>
              <w:right w:val="single" w:sz="8" w:space="0" w:color="000000"/>
            </w:tcBorders>
            <w:textDirection w:val="tbRlV"/>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结构部分</w:t>
            </w: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基础工程</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25</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满足承载能力，未见不均匀沉降</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23</w:t>
            </w:r>
          </w:p>
        </w:tc>
      </w:tr>
      <w:tr w:rsidR="00D56508" w:rsidRPr="00A214B0">
        <w:trPr>
          <w:cantSplit/>
          <w:trHeight w:val="305"/>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承重构件</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25</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梁、柱、板结构基本完好，未见变形</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22</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维护墙体</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25</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满足承载能力，结构牢固，满足使用要求</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22</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屋面</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平整无渗漏，满足使用功能</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楼地面</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15</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略有磨损、个别处开裂</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r>
      <w:tr w:rsidR="00D56508" w:rsidRPr="00A214B0">
        <w:trPr>
          <w:cantSplit/>
          <w:trHeight w:val="329"/>
        </w:trPr>
        <w:tc>
          <w:tcPr>
            <w:tcW w:w="650" w:type="dxa"/>
            <w:tcBorders>
              <w:top w:val="nil"/>
              <w:left w:val="single" w:sz="8" w:space="0" w:color="000000"/>
              <w:bottom w:val="single" w:sz="8" w:space="0" w:color="000000"/>
              <w:right w:val="single" w:sz="8" w:space="0" w:color="000000"/>
            </w:tcBorders>
            <w:textDirection w:val="tbRlV"/>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5957" w:type="dxa"/>
            <w:gridSpan w:val="2"/>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ind w:firstLineChars="200" w:firstLine="361"/>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综合求取时权重取为</w:t>
            </w:r>
            <w:r w:rsidRPr="00A214B0">
              <w:rPr>
                <w:rFonts w:ascii="Times New Roman" w:hAnsi="Times New Roman" w:cs="Times New Roman"/>
                <w:b/>
                <w:color w:val="000000" w:themeColor="text1"/>
                <w:sz w:val="18"/>
                <w:szCs w:val="18"/>
              </w:rPr>
              <w:t>55%</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46.75</w:t>
            </w:r>
          </w:p>
        </w:tc>
      </w:tr>
      <w:tr w:rsidR="00D56508" w:rsidRPr="00A214B0">
        <w:trPr>
          <w:cantSplit/>
          <w:trHeight w:val="329"/>
        </w:trPr>
        <w:tc>
          <w:tcPr>
            <w:tcW w:w="650" w:type="dxa"/>
            <w:vMerge w:val="restart"/>
            <w:tcBorders>
              <w:top w:val="nil"/>
              <w:left w:val="single" w:sz="8" w:space="0" w:color="000000"/>
              <w:bottom w:val="single" w:sz="8" w:space="0" w:color="000000"/>
              <w:right w:val="single" w:sz="8" w:space="0" w:color="000000"/>
            </w:tcBorders>
            <w:textDirection w:val="tbRlV"/>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装饰部分</w:t>
            </w: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门窗</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30</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五金件部分缺失，基本满足使用功能</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27</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外装修</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30</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墙面平整，个别处有开裂空鼓剥落现象</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26</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内装修</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30</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墙面平整，个别处有开裂空鼓剥落现象</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25</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其它</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满足使用要求</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r>
      <w:tr w:rsidR="00D56508" w:rsidRPr="00A214B0">
        <w:trPr>
          <w:cantSplit/>
          <w:trHeight w:val="329"/>
        </w:trPr>
        <w:tc>
          <w:tcPr>
            <w:tcW w:w="650" w:type="dxa"/>
            <w:tcBorders>
              <w:top w:val="nil"/>
              <w:left w:val="single" w:sz="8" w:space="0" w:color="000000"/>
              <w:bottom w:val="single" w:sz="8" w:space="0" w:color="000000"/>
              <w:right w:val="single" w:sz="8" w:space="0" w:color="000000"/>
            </w:tcBorders>
            <w:textDirection w:val="tbRlV"/>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5957" w:type="dxa"/>
            <w:gridSpan w:val="2"/>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ind w:firstLineChars="200" w:firstLine="361"/>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综合求取时权重取为</w:t>
            </w:r>
            <w:r w:rsidRPr="00A214B0">
              <w:rPr>
                <w:rFonts w:ascii="Times New Roman" w:hAnsi="Times New Roman" w:cs="Times New Roman"/>
                <w:b/>
                <w:color w:val="000000" w:themeColor="text1"/>
                <w:sz w:val="18"/>
                <w:szCs w:val="18"/>
              </w:rPr>
              <w:t>35%</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29.75</w:t>
            </w:r>
          </w:p>
        </w:tc>
      </w:tr>
      <w:tr w:rsidR="00D56508" w:rsidRPr="00A214B0">
        <w:trPr>
          <w:cantSplit/>
          <w:trHeight w:val="329"/>
        </w:trPr>
        <w:tc>
          <w:tcPr>
            <w:tcW w:w="650" w:type="dxa"/>
            <w:vMerge w:val="restart"/>
            <w:tcBorders>
              <w:top w:val="nil"/>
              <w:left w:val="single" w:sz="8" w:space="0" w:color="000000"/>
              <w:bottom w:val="single" w:sz="8" w:space="0" w:color="000000"/>
              <w:right w:val="single" w:sz="8" w:space="0" w:color="000000"/>
            </w:tcBorders>
            <w:textDirection w:val="tbRlV"/>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设备</w:t>
            </w: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供配电</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45</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设施齐全、绝缘较好、使用正常</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40</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给、排水</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45</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配置齐全、设备完好，个别处阻塞、渗漏</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39</w:t>
            </w: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供暖</w:t>
            </w:r>
          </w:p>
        </w:tc>
        <w:tc>
          <w:tcPr>
            <w:tcW w:w="1148"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4809"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929"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r>
      <w:tr w:rsidR="00D56508" w:rsidRPr="00A214B0">
        <w:trPr>
          <w:cantSplit/>
          <w:trHeight w:val="329"/>
        </w:trPr>
        <w:tc>
          <w:tcPr>
            <w:tcW w:w="650" w:type="dxa"/>
            <w:vMerge/>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0"/>
              <w:jc w:val="left"/>
              <w:rPr>
                <w:rFonts w:ascii="Times New Roman" w:hAnsi="Times New Roman" w:cs="Times New Roman"/>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消防</w:t>
            </w:r>
          </w:p>
        </w:tc>
        <w:tc>
          <w:tcPr>
            <w:tcW w:w="1148" w:type="dxa"/>
            <w:tcBorders>
              <w:top w:val="nil"/>
              <w:left w:val="nil"/>
              <w:bottom w:val="single" w:sz="8" w:space="0" w:color="000000"/>
              <w:right w:val="single" w:sz="8" w:space="0" w:color="000000"/>
            </w:tcBorders>
            <w:vAlign w:val="center"/>
          </w:tcPr>
          <w:p w:rsidR="00D56508" w:rsidRPr="00A214B0" w:rsidRDefault="00F1265B">
            <w:pPr>
              <w:autoSpaceDE w:val="0"/>
              <w:autoSpaceDN w:val="0"/>
              <w:ind w:firstLineChars="200" w:firstLine="36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480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各种消防器具较齐全，水路畅通</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r>
      <w:tr w:rsidR="00D56508" w:rsidRPr="00A214B0">
        <w:trPr>
          <w:cantSplit/>
          <w:trHeight w:val="329"/>
        </w:trPr>
        <w:tc>
          <w:tcPr>
            <w:tcW w:w="650" w:type="dxa"/>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1513"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5957" w:type="dxa"/>
            <w:gridSpan w:val="2"/>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ind w:firstLineChars="200" w:firstLine="361"/>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综合求取时权重取为</w:t>
            </w:r>
            <w:r w:rsidRPr="00A214B0">
              <w:rPr>
                <w:rFonts w:ascii="Times New Roman" w:hAnsi="Times New Roman" w:cs="Times New Roman"/>
                <w:b/>
                <w:color w:val="000000" w:themeColor="text1"/>
                <w:sz w:val="18"/>
                <w:szCs w:val="18"/>
              </w:rPr>
              <w:t>10%</w:t>
            </w: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8.5</w:t>
            </w:r>
          </w:p>
        </w:tc>
      </w:tr>
      <w:tr w:rsidR="00D56508" w:rsidRPr="00A214B0">
        <w:trPr>
          <w:cantSplit/>
          <w:trHeight w:val="329"/>
        </w:trPr>
        <w:tc>
          <w:tcPr>
            <w:tcW w:w="650" w:type="dxa"/>
            <w:tcBorders>
              <w:top w:val="nil"/>
              <w:left w:val="single" w:sz="8" w:space="0" w:color="000000"/>
              <w:bottom w:val="single" w:sz="8" w:space="0" w:color="000000"/>
              <w:right w:val="single" w:sz="8" w:space="0" w:color="000000"/>
            </w:tcBorders>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2661" w:type="dxa"/>
            <w:gridSpan w:val="2"/>
            <w:tcBorders>
              <w:top w:val="single" w:sz="8" w:space="0" w:color="000000"/>
              <w:left w:val="nil"/>
              <w:bottom w:val="single" w:sz="8" w:space="0" w:color="000000"/>
              <w:right w:val="single" w:sz="8" w:space="0" w:color="000000"/>
            </w:tcBorders>
            <w:vAlign w:val="center"/>
          </w:tcPr>
          <w:p w:rsidR="00D56508" w:rsidRPr="00A214B0" w:rsidRDefault="00F1265B">
            <w:pPr>
              <w:autoSpaceDE w:val="0"/>
              <w:autoSpaceDN w:val="0"/>
              <w:ind w:firstLineChars="200" w:firstLine="361"/>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合计</w:t>
            </w:r>
          </w:p>
        </w:tc>
        <w:tc>
          <w:tcPr>
            <w:tcW w:w="4809" w:type="dxa"/>
            <w:tcBorders>
              <w:top w:val="nil"/>
              <w:left w:val="nil"/>
              <w:bottom w:val="single" w:sz="8" w:space="0" w:color="000000"/>
              <w:right w:val="single" w:sz="8" w:space="0" w:color="000000"/>
            </w:tcBorders>
            <w:vAlign w:val="center"/>
          </w:tcPr>
          <w:p w:rsidR="00D56508" w:rsidRPr="00A214B0" w:rsidRDefault="00D56508">
            <w:pPr>
              <w:autoSpaceDE w:val="0"/>
              <w:autoSpaceDN w:val="0"/>
              <w:ind w:firstLineChars="200" w:firstLine="361"/>
              <w:jc w:val="left"/>
              <w:rPr>
                <w:rFonts w:ascii="Times New Roman" w:hAnsi="Times New Roman" w:cs="Times New Roman"/>
                <w:b/>
                <w:color w:val="000000" w:themeColor="text1"/>
                <w:sz w:val="18"/>
                <w:szCs w:val="18"/>
              </w:rPr>
            </w:pPr>
          </w:p>
        </w:tc>
        <w:tc>
          <w:tcPr>
            <w:tcW w:w="929" w:type="dxa"/>
            <w:tcBorders>
              <w:top w:val="nil"/>
              <w:left w:val="nil"/>
              <w:bottom w:val="single" w:sz="8" w:space="0" w:color="000000"/>
              <w:right w:val="single" w:sz="8" w:space="0" w:color="000000"/>
            </w:tcBorders>
            <w:vAlign w:val="center"/>
          </w:tcPr>
          <w:p w:rsidR="00D56508" w:rsidRPr="00A214B0" w:rsidRDefault="00F1265B">
            <w:pPr>
              <w:autoSpaceDE w:val="0"/>
              <w:autoSpaceDN w:val="0"/>
              <w:jc w:val="left"/>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85</w:t>
            </w:r>
          </w:p>
        </w:tc>
      </w:tr>
    </w:tbl>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综上所述，年限法成新率占</w:t>
      </w:r>
      <w:r w:rsidRPr="00A214B0">
        <w:rPr>
          <w:rFonts w:ascii="Times New Roman" w:hAnsi="Times New Roman" w:cs="Times New Roman"/>
          <w:bCs/>
          <w:color w:val="000000" w:themeColor="text1"/>
          <w:sz w:val="24"/>
          <w:szCs w:val="24"/>
        </w:rPr>
        <w:t>40%</w:t>
      </w:r>
      <w:r w:rsidRPr="00A214B0">
        <w:rPr>
          <w:rFonts w:ascii="Times New Roman" w:hAnsi="Times New Roman" w:cs="Times New Roman"/>
          <w:bCs/>
          <w:color w:val="000000" w:themeColor="text1"/>
          <w:sz w:val="24"/>
          <w:szCs w:val="24"/>
        </w:rPr>
        <w:t>、</w:t>
      </w:r>
      <w:r w:rsidRPr="00A214B0">
        <w:rPr>
          <w:rFonts w:ascii="Times New Roman" w:hAnsi="Times New Roman" w:cs="Times New Roman" w:hint="eastAsia"/>
          <w:bCs/>
          <w:color w:val="000000" w:themeColor="text1"/>
          <w:sz w:val="24"/>
          <w:szCs w:val="24"/>
        </w:rPr>
        <w:t>完好分值</w:t>
      </w:r>
      <w:r w:rsidRPr="00A214B0">
        <w:rPr>
          <w:rFonts w:ascii="Times New Roman" w:hAnsi="Times New Roman" w:cs="Times New Roman"/>
          <w:bCs/>
          <w:color w:val="000000" w:themeColor="text1"/>
          <w:sz w:val="24"/>
          <w:szCs w:val="24"/>
        </w:rPr>
        <w:t>法成新率占</w:t>
      </w:r>
      <w:r w:rsidRPr="00A214B0">
        <w:rPr>
          <w:rFonts w:ascii="Times New Roman" w:hAnsi="Times New Roman" w:cs="Times New Roman"/>
          <w:bCs/>
          <w:color w:val="000000" w:themeColor="text1"/>
          <w:sz w:val="24"/>
          <w:szCs w:val="24"/>
        </w:rPr>
        <w:t>60%</w:t>
      </w:r>
      <w:r w:rsidRPr="00A214B0">
        <w:rPr>
          <w:rFonts w:ascii="Times New Roman" w:hAnsi="Times New Roman" w:cs="Times New Roman"/>
          <w:bCs/>
          <w:color w:val="000000" w:themeColor="text1"/>
          <w:sz w:val="24"/>
          <w:szCs w:val="24"/>
        </w:rPr>
        <w:t>，综合成新率</w:t>
      </w:r>
      <w:r w:rsidRPr="00A214B0">
        <w:rPr>
          <w:rFonts w:ascii="Times New Roman" w:hAnsi="Times New Roman" w:cs="Times New Roman"/>
          <w:bCs/>
          <w:color w:val="000000" w:themeColor="text1"/>
          <w:sz w:val="24"/>
          <w:szCs w:val="24"/>
        </w:rPr>
        <w:t>=78%</w:t>
      </w:r>
      <w:r w:rsidRPr="00A214B0">
        <w:rPr>
          <w:rFonts w:ascii="Times New Roman" w:eastAsia="Malgun Gothic Semilight"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0.4+85%×0.6=82%</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委估案例房屋评估值</w:t>
      </w:r>
      <w:r w:rsidRPr="00A214B0">
        <w:rPr>
          <w:rFonts w:ascii="Times New Roman" w:hAnsi="Times New Roman" w:cs="Times New Roman"/>
          <w:bCs/>
          <w:color w:val="000000" w:themeColor="text1"/>
          <w:sz w:val="24"/>
          <w:szCs w:val="24"/>
        </w:rPr>
        <w:t>=</w:t>
      </w:r>
      <w:r w:rsidRPr="00A214B0">
        <w:rPr>
          <w:rFonts w:ascii="Times New Roman" w:hAnsi="Times New Roman" w:cs="Times New Roman" w:hint="eastAsia"/>
          <w:bCs/>
          <w:color w:val="000000" w:themeColor="text1"/>
          <w:sz w:val="24"/>
          <w:szCs w:val="24"/>
        </w:rPr>
        <w:t xml:space="preserve"> 4,769,600.00 </w:t>
      </w:r>
      <w:r w:rsidRPr="00A214B0">
        <w:rPr>
          <w:rFonts w:ascii="Times New Roman" w:hAnsi="Times New Roman" w:cs="Times New Roman"/>
          <w:bCs/>
          <w:color w:val="000000" w:themeColor="text1"/>
          <w:sz w:val="18"/>
          <w:szCs w:val="18"/>
        </w:rPr>
        <w:t>×</w:t>
      </w:r>
      <w:r w:rsidRPr="00A214B0">
        <w:rPr>
          <w:rFonts w:ascii="Times New Roman" w:hAnsi="Times New Roman" w:cs="Times New Roman"/>
          <w:bCs/>
          <w:color w:val="000000" w:themeColor="text1"/>
          <w:sz w:val="24"/>
          <w:szCs w:val="24"/>
        </w:rPr>
        <w:t>82%=</w:t>
      </w:r>
      <w:r w:rsidRPr="00A214B0">
        <w:rPr>
          <w:rFonts w:ascii="Times New Roman" w:hAnsi="Times New Roman" w:cs="Times New Roman" w:hint="eastAsia"/>
          <w:bCs/>
          <w:color w:val="000000" w:themeColor="text1"/>
          <w:sz w:val="24"/>
          <w:szCs w:val="24"/>
        </w:rPr>
        <w:t xml:space="preserve"> 3,911,072.00 </w:t>
      </w:r>
      <w:r w:rsidRPr="00A214B0">
        <w:rPr>
          <w:rFonts w:ascii="Times New Roman" w:hAnsi="Times New Roman" w:cs="Times New Roman"/>
          <w:bCs/>
          <w:color w:val="000000" w:themeColor="text1"/>
          <w:sz w:val="24"/>
          <w:szCs w:val="24"/>
        </w:rPr>
        <w:t>元</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构筑物成本法案例：道路地坪及围墙、给排水（构筑物明细表</w:t>
      </w:r>
      <w:r w:rsidRPr="00A214B0">
        <w:rPr>
          <w:rFonts w:ascii="Times New Roman" w:hAnsi="Times New Roman" w:cs="Times New Roman"/>
          <w:bCs/>
          <w:color w:val="000000" w:themeColor="text1"/>
          <w:sz w:val="24"/>
          <w:szCs w:val="24"/>
        </w:rPr>
        <w:t>4</w:t>
      </w:r>
      <w:r w:rsidRPr="00A214B0">
        <w:rPr>
          <w:rFonts w:ascii="Times New Roman" w:hAnsi="Times New Roman" w:cs="Times New Roman" w:hint="eastAsia"/>
          <w:bCs/>
          <w:color w:val="000000" w:themeColor="text1"/>
          <w:sz w:val="24"/>
          <w:szCs w:val="24"/>
        </w:rPr>
        <w:t>2</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面积：</w:t>
      </w:r>
      <w:r w:rsidRPr="00A214B0">
        <w:rPr>
          <w:rFonts w:ascii="Times New Roman" w:hAnsi="Times New Roman" w:cs="Times New Roman"/>
          <w:color w:val="000000" w:themeColor="text1"/>
          <w:sz w:val="24"/>
          <w:szCs w:val="24"/>
        </w:rPr>
        <w:t>46,785.83</w:t>
      </w:r>
      <w:r w:rsidRPr="00A214B0">
        <w:rPr>
          <w:rFonts w:ascii="Times New Roman" w:hAnsi="Times New Roman" w:cs="Times New Roman"/>
          <w:color w:val="000000" w:themeColor="text1"/>
          <w:sz w:val="24"/>
          <w:szCs w:val="24"/>
        </w:rPr>
        <w:t>平方米</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结构：砼</w:t>
      </w:r>
    </w:p>
    <w:p w:rsidR="00D56508" w:rsidRPr="00A214B0" w:rsidRDefault="00F1265B">
      <w:pPr>
        <w:pStyle w:val="affc"/>
        <w:numPr>
          <w:ilvl w:val="0"/>
          <w:numId w:val="11"/>
        </w:numPr>
        <w:autoSpaceDE w:val="0"/>
        <w:autoSpaceDN w:val="0"/>
        <w:adjustRightInd w:val="0"/>
        <w:snapToGrid w:val="0"/>
        <w:spacing w:line="360" w:lineRule="auto"/>
        <w:ind w:left="0" w:firstLine="480"/>
        <w:jc w:val="left"/>
        <w:rPr>
          <w:color w:val="000000" w:themeColor="text1"/>
          <w:sz w:val="24"/>
          <w:szCs w:val="24"/>
        </w:rPr>
      </w:pPr>
      <w:r w:rsidRPr="00A214B0">
        <w:rPr>
          <w:color w:val="000000" w:themeColor="text1"/>
          <w:sz w:val="24"/>
          <w:szCs w:val="24"/>
        </w:rPr>
        <w:t>概况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委估构筑物为道路及配套设施使用，建成于</w:t>
      </w:r>
      <w:r w:rsidRPr="00A214B0">
        <w:rPr>
          <w:rFonts w:ascii="Times New Roman" w:hAnsi="Times New Roman" w:cs="Times New Roman"/>
          <w:color w:val="000000" w:themeColor="text1"/>
          <w:sz w:val="24"/>
          <w:szCs w:val="24"/>
        </w:rPr>
        <w:t>2013</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月，道路面积</w:t>
      </w:r>
      <w:r w:rsidRPr="00A214B0">
        <w:rPr>
          <w:rFonts w:ascii="Times New Roman" w:hAnsi="Times New Roman" w:cs="Times New Roman"/>
          <w:color w:val="000000" w:themeColor="text1"/>
          <w:sz w:val="24"/>
          <w:szCs w:val="24"/>
        </w:rPr>
        <w:t>46785.83</w:t>
      </w:r>
      <w:r w:rsidRPr="00A214B0">
        <w:rPr>
          <w:rFonts w:ascii="Times New Roman" w:hAnsi="Times New Roman" w:cs="Times New Roman"/>
          <w:color w:val="000000" w:themeColor="text1"/>
          <w:sz w:val="24"/>
          <w:szCs w:val="24"/>
        </w:rPr>
        <w:t>平方米，结构为混凝土，厚度</w:t>
      </w:r>
      <w:r w:rsidRPr="00A214B0">
        <w:rPr>
          <w:rFonts w:ascii="Times New Roman" w:hAnsi="Times New Roman" w:cs="Times New Roman"/>
          <w:color w:val="000000" w:themeColor="text1"/>
          <w:sz w:val="24"/>
          <w:szCs w:val="24"/>
        </w:rPr>
        <w:t>25cm</w:t>
      </w:r>
      <w:r w:rsidRPr="00A214B0">
        <w:rPr>
          <w:rFonts w:ascii="Times New Roman" w:hAnsi="Times New Roman" w:cs="Times New Roman"/>
          <w:color w:val="000000" w:themeColor="text1"/>
          <w:sz w:val="24"/>
          <w:szCs w:val="24"/>
        </w:rPr>
        <w:t>。整体状况较好。</w:t>
      </w:r>
    </w:p>
    <w:p w:rsidR="00D56508" w:rsidRPr="00A214B0" w:rsidRDefault="00F1265B">
      <w:pPr>
        <w:pStyle w:val="affc"/>
        <w:numPr>
          <w:ilvl w:val="0"/>
          <w:numId w:val="11"/>
        </w:numPr>
        <w:autoSpaceDE w:val="0"/>
        <w:autoSpaceDN w:val="0"/>
        <w:adjustRightInd w:val="0"/>
        <w:snapToGrid w:val="0"/>
        <w:spacing w:line="360" w:lineRule="auto"/>
        <w:ind w:left="0" w:firstLine="480"/>
        <w:jc w:val="left"/>
        <w:rPr>
          <w:color w:val="000000" w:themeColor="text1"/>
          <w:sz w:val="24"/>
          <w:szCs w:val="24"/>
        </w:rPr>
      </w:pPr>
      <w:r w:rsidRPr="00A214B0">
        <w:rPr>
          <w:color w:val="000000" w:themeColor="text1"/>
          <w:sz w:val="24"/>
          <w:szCs w:val="24"/>
        </w:rPr>
        <w:t>重置全价计算过程：</w:t>
      </w:r>
    </w:p>
    <w:tbl>
      <w:tblPr>
        <w:tblW w:w="8144" w:type="dxa"/>
        <w:jc w:val="center"/>
        <w:tblLayout w:type="fixed"/>
        <w:tblLook w:val="04A0" w:firstRow="1" w:lastRow="0" w:firstColumn="1" w:lastColumn="0" w:noHBand="0" w:noVBand="1"/>
      </w:tblPr>
      <w:tblGrid>
        <w:gridCol w:w="941"/>
        <w:gridCol w:w="1736"/>
        <w:gridCol w:w="2113"/>
        <w:gridCol w:w="1158"/>
        <w:gridCol w:w="2196"/>
      </w:tblGrid>
      <w:tr w:rsidR="00D56508" w:rsidRPr="00A214B0">
        <w:trPr>
          <w:trHeight w:val="20"/>
          <w:tblHeader/>
          <w:jc w:val="center"/>
        </w:trPr>
        <w:tc>
          <w:tcPr>
            <w:tcW w:w="941" w:type="dxa"/>
            <w:tcBorders>
              <w:top w:val="single" w:sz="8" w:space="0" w:color="auto"/>
              <w:left w:val="single" w:sz="8" w:space="0" w:color="auto"/>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序号</w:t>
            </w:r>
          </w:p>
        </w:tc>
        <w:tc>
          <w:tcPr>
            <w:tcW w:w="1736" w:type="dxa"/>
            <w:tcBorders>
              <w:top w:val="single" w:sz="8" w:space="0" w:color="auto"/>
              <w:left w:val="nil"/>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费</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用</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名</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称</w:t>
            </w:r>
          </w:p>
        </w:tc>
        <w:tc>
          <w:tcPr>
            <w:tcW w:w="2113" w:type="dxa"/>
            <w:tcBorders>
              <w:top w:val="single" w:sz="8" w:space="0" w:color="auto"/>
              <w:left w:val="nil"/>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计</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费</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基</w:t>
            </w: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数</w:t>
            </w:r>
          </w:p>
        </w:tc>
        <w:tc>
          <w:tcPr>
            <w:tcW w:w="1158" w:type="dxa"/>
            <w:tcBorders>
              <w:top w:val="single" w:sz="8" w:space="0" w:color="auto"/>
              <w:left w:val="nil"/>
              <w:bottom w:val="single" w:sz="8"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费率</w:t>
            </w:r>
          </w:p>
        </w:tc>
        <w:tc>
          <w:tcPr>
            <w:tcW w:w="2196" w:type="dxa"/>
            <w:tcBorders>
              <w:top w:val="single" w:sz="8" w:space="0" w:color="auto"/>
              <w:left w:val="nil"/>
              <w:bottom w:val="single" w:sz="8" w:space="0" w:color="auto"/>
              <w:right w:val="single" w:sz="8"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金额</w:t>
            </w:r>
          </w:p>
        </w:tc>
      </w:tr>
      <w:tr w:rsidR="00D56508" w:rsidRPr="00A214B0">
        <w:trPr>
          <w:trHeight w:val="20"/>
          <w:jc w:val="center"/>
        </w:trPr>
        <w:tc>
          <w:tcPr>
            <w:tcW w:w="941" w:type="dxa"/>
            <w:tcBorders>
              <w:top w:val="single" w:sz="4" w:space="0" w:color="auto"/>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一、</w:t>
            </w:r>
          </w:p>
        </w:tc>
        <w:tc>
          <w:tcPr>
            <w:tcW w:w="1736"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单位建安工程造价</w:t>
            </w:r>
          </w:p>
        </w:tc>
        <w:tc>
          <w:tcPr>
            <w:tcW w:w="2113" w:type="dxa"/>
            <w:tcBorders>
              <w:top w:val="single" w:sz="4" w:space="0" w:color="auto"/>
              <w:left w:val="nil"/>
              <w:bottom w:val="single" w:sz="4" w:space="0" w:color="auto"/>
              <w:right w:val="single" w:sz="4" w:space="0" w:color="auto"/>
            </w:tcBorders>
            <w:vAlign w:val="center"/>
          </w:tcPr>
          <w:p w:rsidR="00D56508" w:rsidRPr="00A214B0" w:rsidRDefault="00D56508">
            <w:pPr>
              <w:widowControl/>
              <w:jc w:val="center"/>
              <w:rPr>
                <w:rFonts w:ascii="Times New Roman" w:hAnsi="Times New Roman" w:cs="Times New Roman"/>
                <w:color w:val="000000" w:themeColor="text1"/>
                <w:kern w:val="0"/>
                <w:sz w:val="18"/>
                <w:szCs w:val="18"/>
              </w:rPr>
            </w:pPr>
          </w:p>
        </w:tc>
        <w:tc>
          <w:tcPr>
            <w:tcW w:w="1158"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2196" w:type="dxa"/>
            <w:tcBorders>
              <w:top w:val="single" w:sz="4" w:space="0" w:color="auto"/>
              <w:left w:val="nil"/>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190.00</w:t>
            </w:r>
            <w:r w:rsidRPr="00A214B0">
              <w:rPr>
                <w:rFonts w:ascii="Times New Roman" w:hAnsi="Times New Roman" w:cs="Times New Roman"/>
                <w:b/>
                <w:bCs/>
                <w:color w:val="000000" w:themeColor="text1"/>
                <w:kern w:val="0"/>
                <w:sz w:val="18"/>
                <w:szCs w:val="18"/>
              </w:rPr>
              <w:t>元</w:t>
            </w:r>
            <w:r w:rsidRPr="00A214B0">
              <w:rPr>
                <w:rFonts w:ascii="Times New Roman" w:hAnsi="Times New Roman" w:cs="Times New Roman"/>
                <w:b/>
                <w:bCs/>
                <w:color w:val="000000" w:themeColor="text1"/>
                <w:kern w:val="0"/>
                <w:sz w:val="18"/>
                <w:szCs w:val="18"/>
              </w:rPr>
              <w:t>/</w:t>
            </w:r>
            <w:r w:rsidRPr="00A214B0">
              <w:rPr>
                <w:rFonts w:ascii="Times New Roman" w:hAnsi="Times New Roman" w:cs="Times New Roman"/>
                <w:b/>
                <w:bCs/>
                <w:color w:val="000000" w:themeColor="text1"/>
                <w:kern w:val="0"/>
                <w:sz w:val="18"/>
                <w:szCs w:val="18"/>
              </w:rPr>
              <w:t>平方米</w:t>
            </w:r>
          </w:p>
        </w:tc>
      </w:tr>
      <w:tr w:rsidR="00D56508" w:rsidRPr="00A214B0">
        <w:trPr>
          <w:trHeight w:val="20"/>
          <w:jc w:val="center"/>
        </w:trPr>
        <w:tc>
          <w:tcPr>
            <w:tcW w:w="941"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二、</w:t>
            </w:r>
          </w:p>
        </w:tc>
        <w:tc>
          <w:tcPr>
            <w:tcW w:w="1736"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建安工程造价</w:t>
            </w:r>
          </w:p>
        </w:tc>
        <w:tc>
          <w:tcPr>
            <w:tcW w:w="2113"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w:t>
            </w:r>
            <w:r w:rsidRPr="00A214B0">
              <w:rPr>
                <w:rFonts w:ascii="Times New Roman" w:hAnsi="Times New Roman" w:cs="Times New Roman"/>
                <w:color w:val="000000" w:themeColor="text1"/>
                <w:kern w:val="0"/>
                <w:sz w:val="18"/>
                <w:szCs w:val="18"/>
              </w:rPr>
              <w:t xml:space="preserve"> </w:t>
            </w:r>
            <w:r w:rsidRPr="00A214B0">
              <w:rPr>
                <w:rFonts w:ascii="Times New Roman" w:eastAsia="Malgun Gothic Semilight" w:hAnsi="Times New Roman" w:cs="Times New Roman"/>
                <w:color w:val="000000" w:themeColor="text1"/>
                <w:kern w:val="0"/>
                <w:sz w:val="18"/>
                <w:szCs w:val="18"/>
              </w:rPr>
              <w:t xml:space="preserve">ⅹ </w:t>
            </w:r>
            <w:r w:rsidRPr="00A214B0">
              <w:rPr>
                <w:rFonts w:ascii="Times New Roman" w:eastAsia="微软雅黑" w:hAnsi="Times New Roman" w:cs="Times New Roman"/>
                <w:color w:val="000000" w:themeColor="text1"/>
                <w:kern w:val="0"/>
                <w:sz w:val="18"/>
                <w:szCs w:val="18"/>
              </w:rPr>
              <w:t>建筑面积</w:t>
            </w:r>
          </w:p>
        </w:tc>
        <w:tc>
          <w:tcPr>
            <w:tcW w:w="1158"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46,785.83</w:t>
            </w:r>
            <w:r w:rsidRPr="00A214B0">
              <w:rPr>
                <w:rFonts w:ascii="Times New Roman" w:hAnsi="Times New Roman" w:cs="Times New Roman"/>
                <w:b/>
                <w:bCs/>
                <w:color w:val="000000" w:themeColor="text1"/>
                <w:kern w:val="0"/>
                <w:sz w:val="18"/>
                <w:szCs w:val="18"/>
              </w:rPr>
              <w:t>平方米</w:t>
            </w:r>
          </w:p>
        </w:tc>
        <w:tc>
          <w:tcPr>
            <w:tcW w:w="2196" w:type="dxa"/>
            <w:tcBorders>
              <w:top w:val="single" w:sz="4" w:space="0" w:color="auto"/>
              <w:left w:val="nil"/>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8,889,307.70</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941"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三、</w:t>
            </w:r>
          </w:p>
        </w:tc>
        <w:tc>
          <w:tcPr>
            <w:tcW w:w="1736"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建安工程造价增值税</w:t>
            </w:r>
          </w:p>
        </w:tc>
        <w:tc>
          <w:tcPr>
            <w:tcW w:w="2113"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1+9%</w:t>
            </w:r>
            <w:r w:rsidRPr="00A214B0">
              <w:rPr>
                <w:rFonts w:ascii="Times New Roman" w:hAnsi="Times New Roman" w:cs="Times New Roman"/>
                <w:color w:val="000000" w:themeColor="text1"/>
                <w:kern w:val="0"/>
                <w:sz w:val="18"/>
                <w:szCs w:val="18"/>
              </w:rPr>
              <w:t>）</w:t>
            </w:r>
          </w:p>
        </w:tc>
        <w:tc>
          <w:tcPr>
            <w:tcW w:w="1158"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9.00%</w:t>
            </w:r>
          </w:p>
        </w:tc>
        <w:tc>
          <w:tcPr>
            <w:tcW w:w="2196"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733,979.53</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941"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四、</w:t>
            </w:r>
          </w:p>
        </w:tc>
        <w:tc>
          <w:tcPr>
            <w:tcW w:w="1736"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前期费用及配套规费</w:t>
            </w:r>
          </w:p>
        </w:tc>
        <w:tc>
          <w:tcPr>
            <w:tcW w:w="2113"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 xml:space="preserve"> ⅹ </w:t>
            </w:r>
            <w:r w:rsidRPr="00A214B0">
              <w:rPr>
                <w:rFonts w:ascii="Times New Roman" w:hAnsi="Times New Roman" w:cs="Times New Roman"/>
                <w:color w:val="000000" w:themeColor="text1"/>
                <w:kern w:val="0"/>
                <w:sz w:val="18"/>
                <w:szCs w:val="18"/>
              </w:rPr>
              <w:t>前期费率</w:t>
            </w:r>
          </w:p>
        </w:tc>
        <w:tc>
          <w:tcPr>
            <w:tcW w:w="1158"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6.443%</w:t>
            </w:r>
            <w:r w:rsidRPr="00A214B0">
              <w:rPr>
                <w:rFonts w:ascii="Times New Roman" w:hAnsi="Times New Roman" w:cs="Times New Roman"/>
                <w:b/>
                <w:bCs/>
                <w:color w:val="000000" w:themeColor="text1"/>
                <w:kern w:val="0"/>
                <w:sz w:val="18"/>
                <w:szCs w:val="18"/>
              </w:rPr>
              <w:t xml:space="preserve">　</w:t>
            </w:r>
          </w:p>
        </w:tc>
        <w:tc>
          <w:tcPr>
            <w:tcW w:w="2196"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572,738.10</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941"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五、</w:t>
            </w:r>
          </w:p>
        </w:tc>
        <w:tc>
          <w:tcPr>
            <w:tcW w:w="1736"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前期费用增值税</w:t>
            </w:r>
          </w:p>
        </w:tc>
        <w:tc>
          <w:tcPr>
            <w:tcW w:w="2113" w:type="dxa"/>
            <w:tcBorders>
              <w:top w:val="single" w:sz="4" w:space="0" w:color="auto"/>
              <w:left w:val="nil"/>
              <w:bottom w:val="single" w:sz="4" w:space="0" w:color="auto"/>
              <w:right w:val="single" w:sz="4" w:space="0" w:color="000000"/>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6.443%-1.080%</w:t>
            </w:r>
            <w:r w:rsidRPr="00A214B0">
              <w:rPr>
                <w:rFonts w:ascii="Times New Roman" w:hAnsi="Times New Roman" w:cs="Times New Roman"/>
                <w:color w:val="000000" w:themeColor="text1"/>
                <w:kern w:val="0"/>
                <w:sz w:val="18"/>
                <w:szCs w:val="18"/>
              </w:rPr>
              <w:t>）</w:t>
            </w:r>
          </w:p>
        </w:tc>
        <w:tc>
          <w:tcPr>
            <w:tcW w:w="1158"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6.00%</w:t>
            </w:r>
          </w:p>
        </w:tc>
        <w:tc>
          <w:tcPr>
            <w:tcW w:w="2196"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26,984.92</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941" w:type="dxa"/>
            <w:tcBorders>
              <w:top w:val="nil"/>
              <w:left w:val="single" w:sz="8"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六、</w:t>
            </w:r>
          </w:p>
        </w:tc>
        <w:tc>
          <w:tcPr>
            <w:tcW w:w="1736" w:type="dxa"/>
            <w:tcBorders>
              <w:top w:val="nil"/>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资金成本</w:t>
            </w:r>
          </w:p>
        </w:tc>
        <w:tc>
          <w:tcPr>
            <w:tcW w:w="2113"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四</w:t>
            </w:r>
          </w:p>
        </w:tc>
        <w:tc>
          <w:tcPr>
            <w:tcW w:w="1158" w:type="dxa"/>
            <w:tcBorders>
              <w:top w:val="nil"/>
              <w:left w:val="nil"/>
              <w:bottom w:val="single" w:sz="4" w:space="0" w:color="auto"/>
              <w:right w:val="nil"/>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4.35%/2</w:t>
            </w:r>
          </w:p>
        </w:tc>
        <w:tc>
          <w:tcPr>
            <w:tcW w:w="2196" w:type="dxa"/>
            <w:tcBorders>
              <w:top w:val="single" w:sz="4" w:space="0" w:color="auto"/>
              <w:left w:val="single" w:sz="4" w:space="0" w:color="auto"/>
              <w:bottom w:val="single" w:sz="4" w:space="0" w:color="auto"/>
              <w:right w:val="single" w:sz="8" w:space="0" w:color="000000"/>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205,799.50</w:t>
            </w:r>
            <w:r w:rsidRPr="00A214B0">
              <w:rPr>
                <w:rFonts w:ascii="Times New Roman" w:hAnsi="Times New Roman" w:cs="Times New Roman"/>
                <w:b/>
                <w:bCs/>
                <w:color w:val="000000" w:themeColor="text1"/>
                <w:kern w:val="0"/>
                <w:sz w:val="18"/>
                <w:szCs w:val="18"/>
              </w:rPr>
              <w:t>元</w:t>
            </w:r>
          </w:p>
        </w:tc>
      </w:tr>
      <w:tr w:rsidR="00D56508" w:rsidRPr="00A214B0">
        <w:trPr>
          <w:trHeight w:val="20"/>
          <w:jc w:val="center"/>
        </w:trPr>
        <w:tc>
          <w:tcPr>
            <w:tcW w:w="941"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七、</w:t>
            </w:r>
          </w:p>
        </w:tc>
        <w:tc>
          <w:tcPr>
            <w:tcW w:w="1736"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不含增值重置全价</w:t>
            </w:r>
            <w:r w:rsidRPr="00A214B0">
              <w:rPr>
                <w:rFonts w:ascii="Times New Roman" w:hAnsi="Times New Roman" w:cs="Times New Roman" w:hint="eastAsia"/>
                <w:b/>
                <w:bCs/>
                <w:color w:val="000000" w:themeColor="text1"/>
                <w:kern w:val="0"/>
                <w:sz w:val="18"/>
                <w:szCs w:val="18"/>
              </w:rPr>
              <w:t>（取整）</w:t>
            </w:r>
          </w:p>
        </w:tc>
        <w:tc>
          <w:tcPr>
            <w:tcW w:w="2113"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四</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六</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三</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五</w:t>
            </w:r>
          </w:p>
        </w:tc>
        <w:tc>
          <w:tcPr>
            <w:tcW w:w="1158"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 xml:space="preserve">　</w:t>
            </w:r>
          </w:p>
        </w:tc>
        <w:tc>
          <w:tcPr>
            <w:tcW w:w="2196"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hint="eastAsia"/>
                <w:b/>
                <w:bCs/>
                <w:color w:val="000000" w:themeColor="text1"/>
                <w:kern w:val="0"/>
                <w:sz w:val="18"/>
                <w:szCs w:val="18"/>
              </w:rPr>
              <w:t xml:space="preserve"> 8,906,900.00 </w:t>
            </w:r>
            <w:r w:rsidRPr="00A214B0">
              <w:rPr>
                <w:rFonts w:ascii="Times New Roman" w:hAnsi="Times New Roman" w:cs="Times New Roman"/>
                <w:b/>
                <w:bCs/>
                <w:color w:val="000000" w:themeColor="text1"/>
                <w:kern w:val="0"/>
                <w:sz w:val="18"/>
                <w:szCs w:val="18"/>
              </w:rPr>
              <w:t>元</w:t>
            </w:r>
          </w:p>
        </w:tc>
      </w:tr>
    </w:tbl>
    <w:p w:rsidR="00D56508" w:rsidRPr="00A214B0" w:rsidRDefault="00F1265B" w:rsidP="00126AB4">
      <w:pPr>
        <w:autoSpaceDE w:val="0"/>
        <w:autoSpaceDN w:val="0"/>
        <w:adjustRightInd w:val="0"/>
        <w:snapToGrid w:val="0"/>
        <w:spacing w:beforeLines="50" w:before="250"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）成新率的确定</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该构筑物建成于</w:t>
      </w:r>
      <w:r w:rsidRPr="00A214B0">
        <w:rPr>
          <w:rFonts w:ascii="Times New Roman" w:hAnsi="Times New Roman" w:cs="Times New Roman"/>
          <w:color w:val="000000" w:themeColor="text1"/>
          <w:sz w:val="24"/>
          <w:szCs w:val="24"/>
        </w:rPr>
        <w:t>2013</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月，截止评估基准日已使用</w:t>
      </w:r>
      <w:r w:rsidRPr="00A214B0">
        <w:rPr>
          <w:rFonts w:ascii="Times New Roman" w:hAnsi="Times New Roman" w:cs="Times New Roman"/>
          <w:color w:val="000000" w:themeColor="text1"/>
          <w:sz w:val="24"/>
          <w:szCs w:val="24"/>
        </w:rPr>
        <w:t>6</w:t>
      </w:r>
      <w:r w:rsidRPr="00A214B0">
        <w:rPr>
          <w:rFonts w:ascii="Times New Roman" w:hAnsi="Times New Roman" w:cs="Times New Roman"/>
          <w:color w:val="000000" w:themeColor="text1"/>
          <w:sz w:val="24"/>
          <w:szCs w:val="24"/>
        </w:rPr>
        <w:t>年，委估构筑物为砼结构，理论年限设定为</w:t>
      </w:r>
      <w:r w:rsidRPr="00A214B0">
        <w:rPr>
          <w:rFonts w:ascii="Times New Roman" w:hAnsi="Times New Roman" w:cs="Times New Roman"/>
          <w:color w:val="000000" w:themeColor="text1"/>
          <w:sz w:val="24"/>
          <w:szCs w:val="24"/>
        </w:rPr>
        <w:t>30</w:t>
      </w:r>
      <w:r w:rsidRPr="00A214B0">
        <w:rPr>
          <w:rFonts w:ascii="Times New Roman" w:hAnsi="Times New Roman" w:cs="Times New Roman"/>
          <w:color w:val="000000" w:themeColor="text1"/>
          <w:sz w:val="24"/>
          <w:szCs w:val="24"/>
        </w:rPr>
        <w:t>年。本次房屋涉及的土地使用权剩余年限为</w:t>
      </w:r>
      <w:r w:rsidRPr="00A214B0">
        <w:rPr>
          <w:rFonts w:ascii="Times New Roman" w:hAnsi="Times New Roman" w:cs="Times New Roman"/>
          <w:color w:val="000000" w:themeColor="text1"/>
          <w:sz w:val="24"/>
          <w:szCs w:val="24"/>
        </w:rPr>
        <w:t>36.78</w:t>
      </w:r>
      <w:r w:rsidRPr="00A214B0">
        <w:rPr>
          <w:rFonts w:ascii="Times New Roman" w:hAnsi="Times New Roman" w:cs="Times New Roman"/>
          <w:color w:val="000000" w:themeColor="text1"/>
          <w:sz w:val="24"/>
          <w:szCs w:val="24"/>
        </w:rPr>
        <w:t>年，故本次尚可使用年限为</w:t>
      </w:r>
      <w:r w:rsidRPr="00A214B0">
        <w:rPr>
          <w:rFonts w:ascii="Times New Roman" w:hAnsi="Times New Roman" w:cs="Times New Roman"/>
          <w:color w:val="000000" w:themeColor="text1"/>
          <w:sz w:val="24"/>
          <w:szCs w:val="24"/>
        </w:rPr>
        <w:t>24</w:t>
      </w:r>
      <w:r w:rsidRPr="00A214B0">
        <w:rPr>
          <w:rFonts w:ascii="Times New Roman" w:hAnsi="Times New Roman" w:cs="Times New Roman"/>
          <w:color w:val="000000" w:themeColor="text1"/>
          <w:sz w:val="24"/>
          <w:szCs w:val="24"/>
        </w:rPr>
        <w:t>年。则：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年限法成新率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尚可使用年限））</w:t>
      </w:r>
      <w:r w:rsidRPr="00A214B0">
        <w:rPr>
          <w:rFonts w:ascii="Times New Roman" w:hAnsi="Times New Roman" w:cs="Times New Roman"/>
          <w:color w:val="000000" w:themeColor="text1"/>
          <w:sz w:val="24"/>
          <w:szCs w:val="24"/>
        </w:rPr>
        <w:t>×100%</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1-6/</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6+24</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×100%</w:t>
      </w:r>
    </w:p>
    <w:p w:rsidR="00D56508" w:rsidRPr="00A214B0" w:rsidRDefault="00F1265B">
      <w:pPr>
        <w:pStyle w:val="affc"/>
        <w:autoSpaceDE w:val="0"/>
        <w:autoSpaceDN w:val="0"/>
        <w:adjustRightInd w:val="0"/>
        <w:snapToGrid w:val="0"/>
        <w:spacing w:line="360" w:lineRule="auto"/>
        <w:ind w:firstLine="480"/>
        <w:jc w:val="left"/>
        <w:rPr>
          <w:color w:val="000000" w:themeColor="text1"/>
          <w:sz w:val="24"/>
          <w:szCs w:val="24"/>
        </w:rPr>
      </w:pPr>
      <w:r w:rsidRPr="00A214B0">
        <w:rPr>
          <w:color w:val="000000" w:themeColor="text1"/>
          <w:sz w:val="24"/>
          <w:szCs w:val="24"/>
        </w:rPr>
        <w:t>=80%</w:t>
      </w:r>
    </w:p>
    <w:p w:rsidR="00D56508" w:rsidRPr="00A214B0" w:rsidRDefault="00F1265B">
      <w:pPr>
        <w:pStyle w:val="affc"/>
        <w:autoSpaceDE w:val="0"/>
        <w:autoSpaceDN w:val="0"/>
        <w:adjustRightInd w:val="0"/>
        <w:snapToGrid w:val="0"/>
        <w:spacing w:line="360" w:lineRule="auto"/>
        <w:ind w:firstLine="480"/>
        <w:jc w:val="left"/>
        <w:rPr>
          <w:color w:val="000000" w:themeColor="text1"/>
          <w:sz w:val="24"/>
          <w:szCs w:val="24"/>
        </w:rPr>
      </w:pPr>
      <w:r w:rsidRPr="00A214B0">
        <w:rPr>
          <w:color w:val="000000" w:themeColor="text1"/>
          <w:sz w:val="24"/>
          <w:szCs w:val="24"/>
        </w:rPr>
        <w:t>委估案例构筑物评估值</w:t>
      </w:r>
      <w:r w:rsidRPr="00A214B0">
        <w:rPr>
          <w:color w:val="000000" w:themeColor="text1"/>
          <w:sz w:val="24"/>
          <w:szCs w:val="24"/>
        </w:rPr>
        <w:t>=</w:t>
      </w:r>
      <w:r w:rsidRPr="00A214B0">
        <w:rPr>
          <w:rFonts w:hint="eastAsia"/>
          <w:color w:val="000000" w:themeColor="text1"/>
          <w:sz w:val="24"/>
          <w:szCs w:val="24"/>
        </w:rPr>
        <w:t xml:space="preserve"> 8,906,900.00 </w:t>
      </w:r>
      <w:r w:rsidRPr="00A214B0">
        <w:rPr>
          <w:color w:val="000000" w:themeColor="text1"/>
          <w:sz w:val="18"/>
          <w:szCs w:val="18"/>
        </w:rPr>
        <w:t>×</w:t>
      </w:r>
      <w:r w:rsidRPr="00A214B0">
        <w:rPr>
          <w:color w:val="000000" w:themeColor="text1"/>
          <w:sz w:val="24"/>
          <w:szCs w:val="24"/>
        </w:rPr>
        <w:t>80%=</w:t>
      </w:r>
      <w:r w:rsidRPr="00A214B0">
        <w:rPr>
          <w:rFonts w:hint="eastAsia"/>
          <w:color w:val="000000" w:themeColor="text1"/>
          <w:sz w:val="24"/>
          <w:szCs w:val="24"/>
        </w:rPr>
        <w:t xml:space="preserve"> 7,125,520.00 </w:t>
      </w:r>
      <w:r w:rsidRPr="00A214B0">
        <w:rPr>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b/>
          <w:color w:val="000000" w:themeColor="text1"/>
          <w:sz w:val="24"/>
          <w:szCs w:val="24"/>
        </w:rPr>
      </w:pPr>
      <w:r w:rsidRPr="00A214B0">
        <w:rPr>
          <w:rFonts w:cs="Times New Roman" w:hint="eastAsia"/>
          <w:color w:val="000000" w:themeColor="text1"/>
          <w:sz w:val="24"/>
          <w:szCs w:val="24"/>
        </w:rPr>
        <w:t>管道沟槽成本法案例—</w:t>
      </w:r>
      <w:r w:rsidRPr="00A214B0">
        <w:rPr>
          <w:rFonts w:ascii="Times New Roman" w:hAnsi="Times New Roman" w:cs="Times New Roman" w:hint="eastAsia"/>
          <w:color w:val="000000" w:themeColor="text1"/>
          <w:sz w:val="24"/>
        </w:rPr>
        <w:t>一期工艺、公用工程管道及其附件</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管道沟槽</w:t>
      </w:r>
      <w:r w:rsidRPr="00A214B0">
        <w:rPr>
          <w:rFonts w:ascii="Times New Roman" w:hAnsi="Times New Roman" w:cs="Times New Roman"/>
          <w:color w:val="000000" w:themeColor="text1"/>
          <w:sz w:val="24"/>
        </w:rPr>
        <w:t>评估明细表序号</w:t>
      </w:r>
      <w:r w:rsidRPr="00A214B0">
        <w:rPr>
          <w:rFonts w:ascii="Times New Roman" w:hAnsi="Times New Roman" w:cs="Times New Roman" w:hint="eastAsia"/>
          <w:color w:val="000000" w:themeColor="text1"/>
          <w:sz w:val="24"/>
        </w:rPr>
        <w:t>1</w:t>
      </w:r>
      <w:r w:rsidRPr="00A214B0">
        <w:rPr>
          <w:rFonts w:ascii="Times New Roman" w:hAnsi="Times New Roman" w:cs="Times New Roman"/>
          <w:color w:val="000000" w:themeColor="text1"/>
          <w:sz w:val="24"/>
        </w:rPr>
        <w:t>）</w:t>
      </w:r>
    </w:p>
    <w:p w:rsidR="00D56508" w:rsidRPr="00A214B0" w:rsidRDefault="00F1265B">
      <w:pPr>
        <w:pStyle w:val="affc"/>
        <w:numPr>
          <w:ilvl w:val="0"/>
          <w:numId w:val="12"/>
        </w:numPr>
        <w:autoSpaceDE w:val="0"/>
        <w:autoSpaceDN w:val="0"/>
        <w:adjustRightInd w:val="0"/>
        <w:snapToGrid w:val="0"/>
        <w:spacing w:line="360" w:lineRule="auto"/>
        <w:ind w:firstLine="480"/>
        <w:jc w:val="left"/>
        <w:rPr>
          <w:color w:val="000000" w:themeColor="text1"/>
          <w:sz w:val="24"/>
          <w:szCs w:val="24"/>
        </w:rPr>
      </w:pPr>
      <w:r w:rsidRPr="00A214B0">
        <w:rPr>
          <w:color w:val="000000" w:themeColor="text1"/>
          <w:sz w:val="24"/>
          <w:szCs w:val="24"/>
        </w:rPr>
        <w:t>设备概况</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设备名称：</w:t>
      </w:r>
      <w:r w:rsidRPr="00A214B0">
        <w:rPr>
          <w:rFonts w:ascii="Times New Roman" w:hAnsi="Times New Roman" w:cs="Times New Roman" w:hint="eastAsia"/>
          <w:color w:val="000000" w:themeColor="text1"/>
          <w:sz w:val="24"/>
        </w:rPr>
        <w:t>一期工艺、公用工程管道及其附件</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规格型号：</w:t>
      </w:r>
      <w:r w:rsidRPr="00A214B0">
        <w:rPr>
          <w:rFonts w:ascii="Times New Roman" w:eastAsia="仿宋_GB2312" w:hAnsi="Times New Roman" w:cs="Times New Roman"/>
          <w:color w:val="000000" w:themeColor="text1"/>
        </w:rPr>
        <w:t>Ø22~Ø219</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主题材质：</w:t>
      </w:r>
      <w:r w:rsidRPr="00A214B0">
        <w:rPr>
          <w:rFonts w:ascii="Times New Roman" w:hAnsi="Times New Roman" w:cs="Times New Roman" w:hint="eastAsia"/>
          <w:color w:val="000000" w:themeColor="text1"/>
          <w:sz w:val="24"/>
          <w:szCs w:val="24"/>
        </w:rPr>
        <w:t>CS/304L</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数</w:t>
      </w:r>
      <w:r w:rsidRPr="00A214B0">
        <w:rPr>
          <w:rFonts w:ascii="Times New Roman" w:hAnsi="Times New Roman" w:cs="Times New Roman"/>
          <w:color w:val="000000" w:themeColor="text1"/>
          <w:sz w:val="24"/>
          <w:szCs w:val="24"/>
        </w:rPr>
        <w:t xml:space="preserve">    </w:t>
      </w:r>
      <w:r w:rsidRPr="00A214B0">
        <w:rPr>
          <w:rFonts w:ascii="Times New Roman" w:hAnsi="Times New Roman" w:cs="Times New Roman"/>
          <w:color w:val="000000" w:themeColor="text1"/>
          <w:sz w:val="24"/>
          <w:szCs w:val="24"/>
        </w:rPr>
        <w:t>量：</w:t>
      </w:r>
      <w:r w:rsidRPr="00A214B0">
        <w:rPr>
          <w:rFonts w:ascii="Times New Roman" w:hAnsi="Times New Roman" w:cs="Times New Roman"/>
          <w:color w:val="000000" w:themeColor="text1"/>
          <w:sz w:val="24"/>
          <w:szCs w:val="24"/>
        </w:rPr>
        <w:t>1</w:t>
      </w:r>
      <w:r w:rsidRPr="00A214B0">
        <w:rPr>
          <w:rFonts w:ascii="Times New Roman" w:hAnsi="Times New Roman" w:cs="Times New Roman" w:hint="eastAsia"/>
          <w:color w:val="000000" w:themeColor="text1"/>
          <w:sz w:val="24"/>
          <w:szCs w:val="24"/>
        </w:rPr>
        <w:t>项</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建设</w:t>
      </w:r>
      <w:r w:rsidRPr="00A214B0">
        <w:rPr>
          <w:rFonts w:ascii="Times New Roman" w:hAnsi="Times New Roman" w:cs="Times New Roman"/>
          <w:color w:val="000000" w:themeColor="text1"/>
          <w:sz w:val="24"/>
          <w:szCs w:val="24"/>
        </w:rPr>
        <w:t>厂家：</w:t>
      </w:r>
      <w:r w:rsidRPr="00A214B0">
        <w:rPr>
          <w:rFonts w:ascii="Times New Roman" w:hAnsi="Times New Roman" w:cs="Times New Roman" w:hint="eastAsia"/>
          <w:color w:val="000000" w:themeColor="text1"/>
          <w:sz w:val="24"/>
          <w:szCs w:val="24"/>
        </w:rPr>
        <w:t>江苏龙海建工集团有限公司</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建成</w:t>
      </w:r>
      <w:r w:rsidRPr="00A214B0">
        <w:rPr>
          <w:rFonts w:ascii="Times New Roman" w:hAnsi="Times New Roman" w:cs="Times New Roman"/>
          <w:color w:val="000000" w:themeColor="text1"/>
          <w:sz w:val="24"/>
          <w:szCs w:val="24"/>
        </w:rPr>
        <w:t>日期：</w:t>
      </w:r>
      <w:r w:rsidRPr="00A214B0">
        <w:rPr>
          <w:rFonts w:ascii="Times New Roman" w:hAnsi="Times New Roman" w:cs="Times New Roman"/>
          <w:color w:val="000000" w:themeColor="text1"/>
          <w:sz w:val="24"/>
          <w:szCs w:val="24"/>
        </w:rPr>
        <w:t>20</w:t>
      </w:r>
      <w:r w:rsidRPr="00A214B0">
        <w:rPr>
          <w:rFonts w:ascii="Times New Roman" w:hAnsi="Times New Roman" w:cs="Times New Roman" w:hint="eastAsia"/>
          <w:color w:val="000000" w:themeColor="text1"/>
          <w:sz w:val="24"/>
          <w:szCs w:val="24"/>
        </w:rPr>
        <w:t>09</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9</w:t>
      </w:r>
      <w:r w:rsidRPr="00A214B0">
        <w:rPr>
          <w:rFonts w:ascii="Times New Roman" w:hAnsi="Times New Roman" w:cs="Times New Roman"/>
          <w:color w:val="000000" w:themeColor="text1"/>
          <w:sz w:val="24"/>
          <w:szCs w:val="24"/>
        </w:rPr>
        <w:t>月</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数</w:t>
      </w:r>
      <w:r w:rsidRPr="00A214B0">
        <w:rPr>
          <w:rFonts w:ascii="Times New Roman" w:hAnsi="Times New Roman" w:cs="Times New Roman" w:hint="eastAsia"/>
          <w:color w:val="000000" w:themeColor="text1"/>
          <w:sz w:val="24"/>
          <w:szCs w:val="24"/>
        </w:rPr>
        <w:t xml:space="preserve">    </w:t>
      </w:r>
      <w:r w:rsidRPr="00A214B0">
        <w:rPr>
          <w:rFonts w:ascii="Times New Roman" w:hAnsi="Times New Roman" w:cs="Times New Roman" w:hint="eastAsia"/>
          <w:color w:val="000000" w:themeColor="text1"/>
          <w:sz w:val="24"/>
          <w:szCs w:val="24"/>
        </w:rPr>
        <w:t>量：</w:t>
      </w:r>
      <w:r w:rsidRPr="00A214B0">
        <w:rPr>
          <w:rFonts w:ascii="Times New Roman" w:hAnsi="Times New Roman" w:cs="Times New Roman" w:hint="eastAsia"/>
          <w:color w:val="000000" w:themeColor="text1"/>
          <w:sz w:val="24"/>
          <w:szCs w:val="24"/>
        </w:rPr>
        <w:t>1</w:t>
      </w:r>
      <w:r w:rsidRPr="00A214B0">
        <w:rPr>
          <w:rFonts w:ascii="Times New Roman" w:hAnsi="Times New Roman" w:cs="Times New Roman" w:hint="eastAsia"/>
          <w:color w:val="000000" w:themeColor="text1"/>
          <w:sz w:val="24"/>
          <w:szCs w:val="24"/>
        </w:rPr>
        <w:t>台</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帐面原值：</w:t>
      </w:r>
      <w:r w:rsidRPr="00A214B0">
        <w:rPr>
          <w:rFonts w:ascii="Times New Roman" w:hAnsi="Times New Roman" w:cs="Times New Roman" w:hint="eastAsia"/>
          <w:color w:val="000000" w:themeColor="text1"/>
          <w:sz w:val="24"/>
          <w:szCs w:val="24"/>
        </w:rPr>
        <w:t xml:space="preserve">40,535,570.15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color w:val="000000" w:themeColor="text1"/>
        </w:rPr>
      </w:pPr>
      <w:r w:rsidRPr="00A214B0">
        <w:rPr>
          <w:rFonts w:ascii="Times New Roman" w:hAnsi="Times New Roman" w:cs="Times New Roman"/>
          <w:color w:val="000000" w:themeColor="text1"/>
          <w:sz w:val="24"/>
          <w:szCs w:val="24"/>
        </w:rPr>
        <w:t>账面净值：</w:t>
      </w:r>
      <w:r w:rsidRPr="00A214B0">
        <w:rPr>
          <w:rFonts w:ascii="Times New Roman" w:hAnsi="Times New Roman" w:cs="Times New Roman" w:hint="eastAsia"/>
          <w:color w:val="000000" w:themeColor="text1"/>
          <w:sz w:val="24"/>
          <w:szCs w:val="24"/>
        </w:rPr>
        <w:t xml:space="preserve">22,083,440.49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安装地点：企业位于泰州市高港区永安洲工业园</w:t>
      </w:r>
      <w:r w:rsidRPr="00A214B0">
        <w:rPr>
          <w:rFonts w:ascii="Times New Roman" w:hAnsi="Times New Roman" w:cs="Times New Roman" w:hint="eastAsia"/>
          <w:color w:val="000000" w:themeColor="text1"/>
          <w:sz w:val="24"/>
          <w:szCs w:val="24"/>
        </w:rPr>
        <w:t>厂区</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该项管道工程由南京医药化工设计研究院有限公司设计，江苏龙海建工集团有限公司制造安装，竣工日期为</w:t>
      </w:r>
      <w:r w:rsidRPr="00A214B0">
        <w:rPr>
          <w:rFonts w:ascii="Times New Roman" w:hAnsi="Times New Roman" w:cs="Times New Roman" w:hint="eastAsia"/>
          <w:color w:val="000000" w:themeColor="text1"/>
          <w:sz w:val="24"/>
          <w:szCs w:val="24"/>
        </w:rPr>
        <w:t>2009</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9</w:t>
      </w:r>
      <w:r w:rsidRPr="00A214B0">
        <w:rPr>
          <w:rFonts w:ascii="Times New Roman" w:hAnsi="Times New Roman" w:cs="Times New Roman" w:hint="eastAsia"/>
          <w:color w:val="000000" w:themeColor="text1"/>
          <w:sz w:val="24"/>
          <w:szCs w:val="24"/>
        </w:rPr>
        <w:t>月。其主要技术参数如下：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设计压力：</w:t>
      </w:r>
      <w:r w:rsidRPr="00A214B0">
        <w:rPr>
          <w:rFonts w:ascii="Times New Roman" w:hAnsi="Times New Roman" w:cs="Times New Roman" w:hint="eastAsia"/>
          <w:color w:val="000000" w:themeColor="text1"/>
          <w:sz w:val="24"/>
          <w:szCs w:val="24"/>
        </w:rPr>
        <w:t>2.0MPa</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设计温度：</w:t>
      </w:r>
      <w:r w:rsidRPr="00A214B0">
        <w:rPr>
          <w:rFonts w:ascii="Times New Roman" w:hAnsi="Times New Roman" w:cs="Times New Roman" w:hint="eastAsia"/>
          <w:color w:val="000000" w:themeColor="text1"/>
          <w:sz w:val="24"/>
          <w:szCs w:val="24"/>
        </w:rPr>
        <w:t>5~60</w:t>
      </w:r>
      <w:r w:rsidRPr="00A214B0">
        <w:rPr>
          <w:rFonts w:ascii="Times New Roman" w:hAnsi="Times New Roman" w:cs="Times New Roman" w:hint="eastAsia"/>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2</w:t>
      </w:r>
      <w:r w:rsidRPr="00A214B0">
        <w:rPr>
          <w:rFonts w:ascii="Times New Roman" w:hAnsi="Times New Roman" w:cs="Times New Roman" w:hint="eastAsia"/>
          <w:color w:val="000000" w:themeColor="text1"/>
          <w:sz w:val="24"/>
          <w:szCs w:val="24"/>
        </w:rPr>
        <w:t>）重置全价的确定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以江苏海企化工仓储有限公司提供的由江苏经纬工程投资造价咨询事务所有限公司出具的工程结算书及竣工结算图等资料为基础，</w:t>
      </w:r>
      <w:r w:rsidRPr="00A214B0">
        <w:rPr>
          <w:rFonts w:hint="eastAsia"/>
          <w:color w:val="000000" w:themeColor="text1"/>
          <w:sz w:val="24"/>
        </w:rPr>
        <w:t>分析钢材、安装费用、防腐及保温</w:t>
      </w:r>
      <w:r w:rsidRPr="00A214B0">
        <w:rPr>
          <w:color w:val="000000" w:themeColor="text1"/>
          <w:sz w:val="24"/>
        </w:rPr>
        <w:t>等构成，</w:t>
      </w:r>
      <w:r w:rsidRPr="00A214B0">
        <w:rPr>
          <w:rFonts w:hint="eastAsia"/>
          <w:color w:val="000000" w:themeColor="text1"/>
          <w:sz w:val="24"/>
        </w:rPr>
        <w:t>并根据相关价格指数</w:t>
      </w:r>
      <w:r w:rsidRPr="00A214B0">
        <w:rPr>
          <w:color w:val="000000" w:themeColor="text1"/>
          <w:sz w:val="24"/>
        </w:rPr>
        <w:t>，</w:t>
      </w:r>
      <w:r w:rsidRPr="00A214B0">
        <w:rPr>
          <w:rFonts w:hint="eastAsia"/>
          <w:color w:val="000000" w:themeColor="text1"/>
          <w:sz w:val="24"/>
        </w:rPr>
        <w:t>调整材料价差和人工、机械，得到分部分项工程费用。在此基础上考虑一定比例的措施项目费、前期费用及资金成本，计算得出该储罐的重置全价，计算计算过程如下：</w:t>
      </w:r>
    </w:p>
    <w:tbl>
      <w:tblPr>
        <w:tblW w:w="8834" w:type="dxa"/>
        <w:tblLayout w:type="fixed"/>
        <w:tblLook w:val="04A0" w:firstRow="1" w:lastRow="0" w:firstColumn="1" w:lastColumn="0" w:noHBand="0" w:noVBand="1"/>
      </w:tblPr>
      <w:tblGrid>
        <w:gridCol w:w="578"/>
        <w:gridCol w:w="2324"/>
        <w:gridCol w:w="578"/>
        <w:gridCol w:w="2925"/>
        <w:gridCol w:w="984"/>
        <w:gridCol w:w="1445"/>
      </w:tblGrid>
      <w:tr w:rsidR="00D56508" w:rsidRPr="00A214B0">
        <w:trPr>
          <w:trHeight w:val="500"/>
          <w:tblHeader/>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序号</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项目名称</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单位</w:t>
            </w:r>
          </w:p>
        </w:tc>
        <w:tc>
          <w:tcPr>
            <w:tcW w:w="29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计算公式</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费率</w:t>
            </w:r>
            <w:r w:rsidRPr="00A214B0">
              <w:rPr>
                <w:rFonts w:ascii="Times New Roman" w:hAnsi="Times New Roman" w:cs="Times New Roman"/>
                <w:b/>
                <w:bCs/>
                <w:color w:val="000000" w:themeColor="text1"/>
                <w:sz w:val="18"/>
                <w:szCs w:val="18"/>
              </w:rPr>
              <w:t>(%)</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小计</w:t>
            </w:r>
          </w:p>
        </w:tc>
      </w:tr>
      <w:tr w:rsidR="00D56508" w:rsidRPr="00A214B0">
        <w:trPr>
          <w:trHeight w:val="500"/>
          <w:tblHeader/>
        </w:trPr>
        <w:tc>
          <w:tcPr>
            <w:tcW w:w="578"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2925"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jc w:val="right"/>
              <w:rPr>
                <w:rFonts w:ascii="Times New Roman" w:hAnsi="Times New Roman" w:cs="Times New Roman"/>
                <w:b/>
                <w:bCs/>
                <w:color w:val="000000" w:themeColor="text1"/>
                <w:sz w:val="18"/>
                <w:szCs w:val="18"/>
              </w:rPr>
            </w:pP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一</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建安工程造价</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 xml:space="preserve">　</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 xml:space="preserve">　</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D56508">
            <w:pPr>
              <w:jc w:val="right"/>
              <w:rPr>
                <w:rFonts w:ascii="Times New Roman" w:hAnsi="Times New Roman" w:cs="Times New Roman"/>
                <w:b/>
                <w:bCs/>
                <w:color w:val="000000" w:themeColor="text1"/>
                <w:sz w:val="18"/>
                <w:szCs w:val="18"/>
              </w:rPr>
            </w:pP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分部分项工程</w:t>
            </w:r>
            <w:r w:rsidRPr="00A214B0">
              <w:rPr>
                <w:rFonts w:ascii="Times New Roman" w:hAnsi="Times New Roman" w:cs="Times New Roman" w:hint="eastAsia"/>
                <w:color w:val="000000" w:themeColor="text1"/>
                <w:sz w:val="18"/>
                <w:szCs w:val="18"/>
              </w:rPr>
              <w:t>费</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34,077,882.87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措施项目费用</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r w:rsidRPr="00A214B0">
              <w:rPr>
                <w:rFonts w:ascii="Times New Roman" w:hAnsi="Times New Roman" w:cs="Times New Roman"/>
                <w:color w:val="000000" w:themeColor="text1"/>
                <w:sz w:val="18"/>
                <w:szCs w:val="18"/>
              </w:rPr>
              <w:t>2.1+2.2+2.3+2.4</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1,533,504.73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2.1</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安全文明施工措施费</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 xml:space="preserve">费率　</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1.50%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511,168.24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2.2</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临时设施费</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费率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1.00%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340,778.83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2.3</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专项费用</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费率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0.50%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170,389.41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2.4</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其他措施项目</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费率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1.50%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511,168.24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3</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建筑安装工程造价</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不含税</w:t>
            </w:r>
            <w:r w:rsidRPr="00A214B0">
              <w:rPr>
                <w:rFonts w:ascii="Times New Roman" w:hAnsi="Times New Roman" w:cs="Times New Roman"/>
                <w:color w:val="000000" w:themeColor="text1"/>
                <w:sz w:val="18"/>
                <w:szCs w:val="18"/>
              </w:rPr>
              <w:t>)</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(1)+(2)</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textAlignment w:val="center"/>
              <w:rPr>
                <w:rFonts w:ascii="Times New Roman" w:eastAsia="Arial Narrow" w:hAnsi="Times New Roman" w:cs="Times New Roman"/>
                <w:color w:val="000000" w:themeColor="text1"/>
                <w:kern w:val="0"/>
                <w:sz w:val="18"/>
                <w:szCs w:val="18"/>
                <w:lang w:bidi="ar"/>
              </w:rPr>
            </w:pP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b/>
                <w:bCs/>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35,611,387.60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4</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税金（增值税）</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r w:rsidRPr="00A214B0">
              <w:rPr>
                <w:rFonts w:ascii="Times New Roman" w:hAnsi="Times New Roman" w:cs="Times New Roman"/>
                <w:color w:val="000000" w:themeColor="text1"/>
                <w:sz w:val="18"/>
                <w:szCs w:val="18"/>
              </w:rPr>
              <w:t>税率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9%</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b/>
                <w:bCs/>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 3,205,024.88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5</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建筑安装工程造价</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含税</w:t>
            </w:r>
            <w:r w:rsidRPr="00A214B0">
              <w:rPr>
                <w:rFonts w:ascii="Times New Roman" w:hAnsi="Times New Roman" w:cs="Times New Roman"/>
                <w:color w:val="000000" w:themeColor="text1"/>
                <w:sz w:val="18"/>
                <w:szCs w:val="18"/>
              </w:rPr>
              <w:t>)</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3+4</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b/>
                <w:bCs/>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 xml:space="preserve">38,816,412.48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6</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前期费用</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r w:rsidRPr="00A214B0">
              <w:rPr>
                <w:rFonts w:ascii="Times New Roman" w:hAnsi="Times New Roman" w:cs="Times New Roman"/>
                <w:color w:val="000000" w:themeColor="text1"/>
                <w:sz w:val="18"/>
                <w:szCs w:val="18"/>
              </w:rPr>
              <w:t>费率</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508" w:rsidRPr="00A214B0" w:rsidRDefault="00F1265B">
            <w:pPr>
              <w:widowControl/>
              <w:jc w:val="right"/>
              <w:textAlignment w:val="bottom"/>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6.543%</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2,539,757.87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7</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前期费中可抵扣增值税</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r w:rsidRPr="00A214B0">
              <w:rPr>
                <w:rFonts w:ascii="Times New Roman" w:hAnsi="Times New Roman" w:cs="Times New Roman"/>
                <w:color w:val="000000" w:themeColor="text1"/>
                <w:sz w:val="18"/>
                <w:szCs w:val="18"/>
              </w:rPr>
              <w:t>可取得专票比例</w:t>
            </w:r>
            <w:r w:rsidRPr="00A214B0">
              <w:rPr>
                <w:rFonts w:ascii="Times New Roman" w:hAnsi="Times New Roman" w:cs="Times New Roman"/>
                <w:color w:val="000000" w:themeColor="text1"/>
                <w:sz w:val="18"/>
                <w:szCs w:val="18"/>
              </w:rPr>
              <w:t>×0.06/1.06</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right"/>
              <w:textAlignment w:val="center"/>
              <w:rPr>
                <w:rFonts w:ascii="Times New Roman" w:eastAsia="Arial Narrow" w:hAnsi="Times New Roman" w:cs="Times New Roman"/>
                <w:color w:val="000000" w:themeColor="text1"/>
                <w:kern w:val="0"/>
                <w:sz w:val="18"/>
                <w:szCs w:val="18"/>
                <w:lang w:bidi="ar"/>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120,030.60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8</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建设期利息</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5+6</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×4.35%×1×0.5</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right"/>
              <w:textAlignment w:val="center"/>
              <w:rPr>
                <w:rFonts w:ascii="Times New Roman" w:eastAsia="Arial Narrow" w:hAnsi="Times New Roman" w:cs="Times New Roman"/>
                <w:color w:val="000000" w:themeColor="text1"/>
                <w:kern w:val="0"/>
                <w:sz w:val="18"/>
                <w:szCs w:val="18"/>
                <w:lang w:bidi="ar"/>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899,496.71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9</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重置全价（取整）</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right"/>
              <w:textAlignment w:val="center"/>
              <w:rPr>
                <w:rFonts w:ascii="Times New Roman" w:eastAsia="Arial Narrow" w:hAnsi="Times New Roman" w:cs="Times New Roman"/>
                <w:color w:val="000000" w:themeColor="text1"/>
                <w:kern w:val="0"/>
                <w:sz w:val="18"/>
                <w:szCs w:val="18"/>
                <w:lang w:bidi="ar"/>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38,931,000.00 </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）成新率的确定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rPr>
        <w:t>该</w:t>
      </w:r>
      <w:r w:rsidRPr="00A214B0">
        <w:rPr>
          <w:rFonts w:ascii="Times New Roman" w:hAnsi="Times New Roman" w:cs="Times New Roman" w:hint="eastAsia"/>
          <w:color w:val="000000" w:themeColor="text1"/>
          <w:sz w:val="24"/>
        </w:rPr>
        <w:t>管道工程</w:t>
      </w:r>
      <w:r w:rsidRPr="00A214B0">
        <w:rPr>
          <w:rFonts w:ascii="Times New Roman" w:hAnsi="Times New Roman" w:cs="Times New Roman"/>
          <w:color w:val="000000" w:themeColor="text1"/>
          <w:sz w:val="24"/>
        </w:rPr>
        <w:t>于</w:t>
      </w:r>
      <w:r w:rsidRPr="00A214B0">
        <w:rPr>
          <w:rFonts w:ascii="Times New Roman" w:hAnsi="Times New Roman" w:cs="Times New Roman"/>
          <w:color w:val="000000" w:themeColor="text1"/>
          <w:sz w:val="24"/>
          <w:szCs w:val="24"/>
        </w:rPr>
        <w:t>20</w:t>
      </w:r>
      <w:r w:rsidRPr="00A214B0">
        <w:rPr>
          <w:rFonts w:ascii="Times New Roman" w:hAnsi="Times New Roman" w:cs="Times New Roman" w:hint="eastAsia"/>
          <w:color w:val="000000" w:themeColor="text1"/>
          <w:sz w:val="24"/>
          <w:szCs w:val="24"/>
        </w:rPr>
        <w:t>09</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9</w:t>
      </w:r>
      <w:r w:rsidRPr="00A214B0">
        <w:rPr>
          <w:rFonts w:ascii="Times New Roman" w:hAnsi="Times New Roman" w:cs="Times New Roman"/>
          <w:color w:val="000000" w:themeColor="text1"/>
          <w:sz w:val="24"/>
          <w:szCs w:val="24"/>
        </w:rPr>
        <w:t>月</w:t>
      </w:r>
      <w:r w:rsidRPr="00A214B0">
        <w:rPr>
          <w:rFonts w:ascii="Times New Roman" w:hAnsi="Times New Roman" w:cs="Times New Roman" w:hint="eastAsia"/>
          <w:color w:val="000000" w:themeColor="text1"/>
          <w:sz w:val="24"/>
        </w:rPr>
        <w:t>构建完成并投入使用</w:t>
      </w:r>
      <w:r w:rsidRPr="00A214B0">
        <w:rPr>
          <w:rFonts w:ascii="Times New Roman" w:hAnsi="Times New Roman" w:cs="Times New Roman"/>
          <w:color w:val="000000" w:themeColor="text1"/>
          <w:sz w:val="24"/>
        </w:rPr>
        <w:t>，至评估基准日已经</w:t>
      </w:r>
      <w:r w:rsidRPr="00A214B0">
        <w:rPr>
          <w:rFonts w:ascii="Times New Roman" w:hAnsi="Times New Roman" w:cs="Times New Roman" w:hint="eastAsia"/>
          <w:color w:val="000000" w:themeColor="text1"/>
          <w:sz w:val="24"/>
        </w:rPr>
        <w:t>使用</w:t>
      </w:r>
      <w:r w:rsidRPr="00A214B0">
        <w:rPr>
          <w:rFonts w:ascii="Times New Roman" w:hAnsi="Times New Roman" w:cs="Times New Roman" w:hint="eastAsia"/>
          <w:color w:val="000000" w:themeColor="text1"/>
          <w:kern w:val="0"/>
          <w:sz w:val="24"/>
          <w:szCs w:val="24"/>
        </w:rPr>
        <w:t>9.67</w:t>
      </w:r>
      <w:r w:rsidRPr="00A214B0">
        <w:rPr>
          <w:rFonts w:ascii="Times New Roman" w:hAnsi="Times New Roman" w:cs="Times New Roman"/>
          <w:color w:val="000000" w:themeColor="text1"/>
          <w:sz w:val="24"/>
        </w:rPr>
        <w:t>年，参照《最新资产评估常用数据与参数手册》，</w:t>
      </w:r>
      <w:r w:rsidRPr="00A214B0">
        <w:rPr>
          <w:rFonts w:ascii="Times New Roman" w:hAnsi="Times New Roman" w:cs="Times New Roman"/>
          <w:color w:val="000000" w:themeColor="text1"/>
          <w:sz w:val="24"/>
          <w:szCs w:val="24"/>
        </w:rPr>
        <w:t>确定</w:t>
      </w:r>
      <w:r w:rsidRPr="00A214B0">
        <w:rPr>
          <w:rFonts w:ascii="Times New Roman" w:hAnsi="Times New Roman" w:cs="Times New Roman" w:hint="eastAsia"/>
          <w:color w:val="000000" w:themeColor="text1"/>
          <w:sz w:val="24"/>
          <w:szCs w:val="24"/>
        </w:rPr>
        <w:t>该项管道工程经济使用年限为</w:t>
      </w:r>
      <w:r w:rsidRPr="00A214B0">
        <w:rPr>
          <w:rFonts w:ascii="Times New Roman" w:hAnsi="Times New Roman" w:cs="Times New Roman" w:hint="eastAsia"/>
          <w:color w:val="000000" w:themeColor="text1"/>
          <w:sz w:val="24"/>
          <w:szCs w:val="24"/>
        </w:rPr>
        <w:t>20</w:t>
      </w:r>
      <w:r w:rsidRPr="00A214B0">
        <w:rPr>
          <w:rFonts w:ascii="Times New Roman" w:hAnsi="Times New Roman" w:cs="Times New Roman" w:hint="eastAsia"/>
          <w:color w:val="000000" w:themeColor="text1"/>
          <w:sz w:val="24"/>
          <w:szCs w:val="24"/>
        </w:rPr>
        <w:t>年。则其年限成新率计算如下：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年限成新率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（经济使用年限</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已使用年限）</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经济使用年限×</w:t>
      </w:r>
      <w:r w:rsidRPr="00A214B0">
        <w:rPr>
          <w:rFonts w:ascii="Times New Roman" w:hAnsi="Times New Roman" w:cs="Times New Roman" w:hint="eastAsia"/>
          <w:color w:val="000000" w:themeColor="text1"/>
          <w:sz w:val="24"/>
          <w:szCs w:val="24"/>
        </w:rPr>
        <w:t>100%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 xml:space="preserve">          </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20-9.67</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/20</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100%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 xml:space="preserve">          </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52%</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评估人员</w:t>
      </w:r>
      <w:r w:rsidRPr="00A214B0">
        <w:rPr>
          <w:rFonts w:ascii="Times New Roman" w:hAnsi="Times New Roman" w:cs="Times New Roman"/>
          <w:color w:val="000000" w:themeColor="text1"/>
          <w:sz w:val="24"/>
          <w:szCs w:val="24"/>
        </w:rPr>
        <w:t>通过现场勘察</w:t>
      </w:r>
      <w:r w:rsidRPr="00A214B0">
        <w:rPr>
          <w:rFonts w:ascii="Times New Roman" w:hAnsi="Times New Roman" w:cs="Times New Roman" w:hint="eastAsia"/>
          <w:color w:val="000000" w:themeColor="text1"/>
          <w:sz w:val="24"/>
          <w:szCs w:val="24"/>
        </w:rPr>
        <w:t>管道</w:t>
      </w:r>
      <w:r w:rsidRPr="00A214B0">
        <w:rPr>
          <w:rFonts w:ascii="Times New Roman" w:hAnsi="Times New Roman" w:cs="Times New Roman"/>
          <w:color w:val="000000" w:themeColor="text1"/>
          <w:sz w:val="24"/>
          <w:szCs w:val="24"/>
        </w:rPr>
        <w:t>现状、查阅运行、</w:t>
      </w:r>
      <w:r w:rsidRPr="00A214B0">
        <w:rPr>
          <w:rFonts w:ascii="Times New Roman" w:hAnsi="Times New Roman" w:cs="Times New Roman" w:hint="eastAsia"/>
          <w:color w:val="000000" w:themeColor="text1"/>
          <w:sz w:val="24"/>
          <w:szCs w:val="24"/>
        </w:rPr>
        <w:t>维修及</w:t>
      </w:r>
      <w:r w:rsidRPr="00A214B0">
        <w:rPr>
          <w:rFonts w:ascii="Times New Roman" w:hAnsi="Times New Roman" w:cs="Times New Roman"/>
          <w:color w:val="000000" w:themeColor="text1"/>
          <w:sz w:val="24"/>
          <w:szCs w:val="24"/>
        </w:rPr>
        <w:t>管理的档案资料，以及向工程技术人员、操作人员了解</w:t>
      </w:r>
      <w:r w:rsidRPr="00A214B0">
        <w:rPr>
          <w:rFonts w:ascii="Times New Roman" w:hAnsi="Times New Roman" w:cs="Times New Roman" w:hint="eastAsia"/>
          <w:color w:val="000000" w:themeColor="text1"/>
          <w:sz w:val="24"/>
          <w:szCs w:val="24"/>
        </w:rPr>
        <w:t>管道</w:t>
      </w:r>
      <w:r w:rsidRPr="00A214B0">
        <w:rPr>
          <w:rFonts w:ascii="Times New Roman" w:hAnsi="Times New Roman" w:cs="Times New Roman"/>
          <w:color w:val="000000" w:themeColor="text1"/>
          <w:sz w:val="24"/>
          <w:szCs w:val="24"/>
        </w:rPr>
        <w:t>技术状况、实际负荷情况、故障情况、大修理情况、技术改造情况、维修保养情况等，</w:t>
      </w:r>
      <w:r w:rsidRPr="00A214B0">
        <w:rPr>
          <w:rFonts w:ascii="Times New Roman" w:hAnsi="Times New Roman" w:cs="Times New Roman" w:hint="eastAsia"/>
          <w:color w:val="000000" w:themeColor="text1"/>
          <w:sz w:val="24"/>
          <w:szCs w:val="24"/>
        </w:rPr>
        <w:t>综合确定该管道工程的完好分值法成新率为</w:t>
      </w:r>
      <w:r w:rsidRPr="00A214B0">
        <w:rPr>
          <w:rFonts w:ascii="Times New Roman" w:hAnsi="Times New Roman" w:cs="Times New Roman" w:hint="eastAsia"/>
          <w:color w:val="000000" w:themeColor="text1"/>
          <w:sz w:val="24"/>
          <w:szCs w:val="24"/>
        </w:rPr>
        <w:t>50%</w:t>
      </w:r>
      <w:r w:rsidRPr="00A214B0">
        <w:rPr>
          <w:rFonts w:ascii="Times New Roman" w:hAnsi="Times New Roman" w:cs="Times New Roman"/>
          <w:color w:val="000000" w:themeColor="text1"/>
          <w:sz w:val="24"/>
          <w:szCs w:val="24"/>
        </w:rPr>
        <w:t>，然后按以下公式</w:t>
      </w:r>
      <w:r w:rsidRPr="00A214B0">
        <w:rPr>
          <w:rFonts w:ascii="Times New Roman" w:hAnsi="Times New Roman" w:cs="Times New Roman" w:hint="eastAsia"/>
          <w:color w:val="000000" w:themeColor="text1"/>
          <w:sz w:val="24"/>
          <w:szCs w:val="24"/>
        </w:rPr>
        <w:t>计算</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成新率＝</w:t>
      </w:r>
      <w:r w:rsidRPr="00A214B0">
        <w:rPr>
          <w:rFonts w:ascii="Times New Roman" w:hAnsi="Times New Roman" w:cs="Times New Roman" w:hint="eastAsia"/>
          <w:color w:val="000000" w:themeColor="text1"/>
          <w:sz w:val="24"/>
          <w:szCs w:val="24"/>
        </w:rPr>
        <w:t>年限成新率×</w:t>
      </w:r>
      <w:r w:rsidRPr="00A214B0">
        <w:rPr>
          <w:rFonts w:ascii="Times New Roman" w:hAnsi="Times New Roman" w:cs="Times New Roman" w:hint="eastAsia"/>
          <w:color w:val="000000" w:themeColor="text1"/>
          <w:sz w:val="24"/>
          <w:szCs w:val="24"/>
        </w:rPr>
        <w:t>40%+</w:t>
      </w:r>
      <w:r w:rsidRPr="00A214B0">
        <w:rPr>
          <w:rFonts w:ascii="Times New Roman" w:hAnsi="Times New Roman" w:cs="Times New Roman" w:hint="eastAsia"/>
          <w:color w:val="000000" w:themeColor="text1"/>
          <w:sz w:val="24"/>
          <w:szCs w:val="24"/>
        </w:rPr>
        <w:t>完好分值法成新率×</w:t>
      </w:r>
      <w:r w:rsidRPr="00A214B0">
        <w:rPr>
          <w:rFonts w:ascii="Times New Roman" w:hAnsi="Times New Roman" w:cs="Times New Roman" w:hint="eastAsia"/>
          <w:color w:val="000000" w:themeColor="text1"/>
          <w:sz w:val="24"/>
          <w:szCs w:val="24"/>
        </w:rPr>
        <w:t>60%</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52%</w:t>
      </w:r>
      <w:r w:rsidRPr="00A214B0">
        <w:rPr>
          <w:rFonts w:ascii="Times New Roman" w:hAnsi="Times New Roman" w:cs="Times New Roman" w:hint="eastAsia"/>
          <w:color w:val="000000" w:themeColor="text1"/>
          <w:sz w:val="24"/>
          <w:szCs w:val="24"/>
        </w:rPr>
        <w:t>×</w:t>
      </w:r>
      <w:r w:rsidR="00ED6822" w:rsidRPr="00A214B0">
        <w:rPr>
          <w:rFonts w:ascii="Times New Roman" w:hAnsi="Times New Roman" w:cs="Times New Roman" w:hint="eastAsia"/>
          <w:color w:val="000000" w:themeColor="text1"/>
          <w:sz w:val="24"/>
          <w:szCs w:val="24"/>
        </w:rPr>
        <w:t>40%+50</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w:t>
      </w:r>
      <w:r w:rsidR="00ED6822" w:rsidRPr="00A214B0">
        <w:rPr>
          <w:rFonts w:ascii="Times New Roman" w:hAnsi="Times New Roman" w:cs="Times New Roman" w:hint="eastAsia"/>
          <w:color w:val="000000" w:themeColor="text1"/>
          <w:sz w:val="24"/>
          <w:szCs w:val="24"/>
        </w:rPr>
        <w:t>6</w:t>
      </w:r>
      <w:r w:rsidRPr="00A214B0">
        <w:rPr>
          <w:rFonts w:ascii="Times New Roman" w:hAnsi="Times New Roman" w:cs="Times New Roman" w:hint="eastAsia"/>
          <w:color w:val="000000" w:themeColor="text1"/>
          <w:sz w:val="24"/>
          <w:szCs w:val="24"/>
        </w:rPr>
        <w:t>0%</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51</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）评估值的确定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评估值＝重置全价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 xml:space="preserve"> 38,290,000.00 </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51%</w:t>
      </w:r>
    </w:p>
    <w:p w:rsidR="00D56508" w:rsidRPr="00A214B0" w:rsidRDefault="00F1265B">
      <w:pPr>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 xml:space="preserve"> 19,527,900.00 </w:t>
      </w:r>
      <w:r w:rsidRPr="00A214B0">
        <w:rPr>
          <w:rFonts w:ascii="Times New Roman" w:hAnsi="Times New Roman" w:cs="Times New Roman"/>
          <w:color w:val="000000" w:themeColor="text1"/>
          <w:sz w:val="24"/>
          <w:szCs w:val="24"/>
        </w:rPr>
        <w:t>元</w:t>
      </w:r>
    </w:p>
    <w:p w:rsidR="00D56508" w:rsidRPr="00A214B0" w:rsidRDefault="00F1265B">
      <w:pPr>
        <w:autoSpaceDE w:val="0"/>
        <w:autoSpaceDN w:val="0"/>
        <w:adjustRightInd w:val="0"/>
        <w:snapToGrid w:val="0"/>
        <w:spacing w:line="360" w:lineRule="auto"/>
        <w:ind w:firstLineChars="200" w:firstLine="480"/>
        <w:jc w:val="left"/>
        <w:outlineLvl w:val="2"/>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6.</w:t>
      </w:r>
      <w:r w:rsidRPr="00A214B0">
        <w:rPr>
          <w:rFonts w:ascii="Times New Roman" w:hAnsi="Times New Roman" w:cs="Times New Roman"/>
          <w:bCs/>
          <w:color w:val="000000" w:themeColor="text1"/>
          <w:sz w:val="24"/>
          <w:szCs w:val="24"/>
        </w:rPr>
        <w:t>评估结论分析</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本次委估房屋类合计评估结果为</w:t>
      </w:r>
      <w:r w:rsidRPr="00A214B0">
        <w:rPr>
          <w:rFonts w:ascii="Times New Roman" w:hAnsi="Times New Roman" w:cs="Times New Roman" w:hint="eastAsia"/>
          <w:bCs/>
          <w:color w:val="000000" w:themeColor="text1"/>
          <w:sz w:val="24"/>
          <w:szCs w:val="24"/>
        </w:rPr>
        <w:t xml:space="preserve"> </w:t>
      </w:r>
      <w:r w:rsidR="007D423F" w:rsidRPr="00A214B0">
        <w:rPr>
          <w:rFonts w:ascii="Times New Roman" w:hAnsi="Times New Roman" w:cs="Times New Roman"/>
          <w:bCs/>
          <w:color w:val="000000" w:themeColor="text1"/>
          <w:sz w:val="24"/>
          <w:szCs w:val="24"/>
        </w:rPr>
        <w:t xml:space="preserve"> 122,386,835.00</w:t>
      </w:r>
      <w:r w:rsidRPr="00A214B0">
        <w:rPr>
          <w:rFonts w:ascii="Times New Roman" w:hAnsi="Times New Roman" w:cs="Times New Roman"/>
          <w:bCs/>
          <w:color w:val="000000" w:themeColor="text1"/>
          <w:sz w:val="24"/>
          <w:szCs w:val="24"/>
        </w:rPr>
        <w:t>元，增值了</w:t>
      </w:r>
      <w:r w:rsidR="007D423F" w:rsidRPr="00A214B0">
        <w:rPr>
          <w:rFonts w:ascii="Times New Roman" w:hAnsi="Times New Roman" w:cs="Times New Roman"/>
          <w:bCs/>
          <w:color w:val="000000" w:themeColor="text1"/>
          <w:sz w:val="24"/>
          <w:szCs w:val="24"/>
        </w:rPr>
        <w:t>1,625,580.78</w:t>
      </w:r>
      <w:r w:rsidRPr="00A214B0">
        <w:rPr>
          <w:rFonts w:ascii="Times New Roman" w:hAnsi="Times New Roman" w:cs="Times New Roman"/>
          <w:bCs/>
          <w:color w:val="000000" w:themeColor="text1"/>
          <w:sz w:val="24"/>
          <w:szCs w:val="24"/>
        </w:rPr>
        <w:t>元，本次房屋类增值情况主要是因为建安造价中人材机费用近年来有一定涨幅。</w:t>
      </w:r>
    </w:p>
    <w:p w:rsidR="00D56508" w:rsidRPr="00A214B0" w:rsidRDefault="00F1265B">
      <w:pPr>
        <w:pStyle w:val="20"/>
        <w:ind w:firstLine="480"/>
        <w:rPr>
          <w:rFonts w:ascii="Times New Roman" w:hAnsi="Times New Roman"/>
          <w:color w:val="000000" w:themeColor="text1"/>
        </w:rPr>
      </w:pPr>
      <w:bookmarkStart w:id="71" w:name="_Toc16017"/>
      <w:bookmarkStart w:id="72" w:name="_Toc531574693"/>
      <w:bookmarkEnd w:id="58"/>
      <w:r w:rsidRPr="00A214B0">
        <w:rPr>
          <w:rFonts w:ascii="Times New Roman" w:hAnsi="Times New Roman"/>
          <w:color w:val="000000" w:themeColor="text1"/>
        </w:rPr>
        <w:t>（三）设备类资产评估说明</w:t>
      </w:r>
      <w:bookmarkEnd w:id="71"/>
    </w:p>
    <w:p w:rsidR="00D56508" w:rsidRPr="00A214B0" w:rsidRDefault="00F1265B">
      <w:pPr>
        <w:snapToGrid w:val="0"/>
        <w:spacing w:line="360" w:lineRule="auto"/>
        <w:ind w:firstLineChars="200" w:firstLine="480"/>
        <w:outlineLvl w:val="2"/>
        <w:rPr>
          <w:rFonts w:ascii="Times New Roman" w:hAnsi="Times New Roman" w:cs="Times New Roman"/>
          <w:color w:val="000000" w:themeColor="text1"/>
          <w:sz w:val="24"/>
          <w:szCs w:val="24"/>
        </w:rPr>
      </w:pPr>
      <w:bookmarkStart w:id="73" w:name="_Toc3017"/>
      <w:bookmarkStart w:id="74" w:name="_Toc503865048"/>
      <w:r w:rsidRPr="00A214B0">
        <w:rPr>
          <w:rFonts w:ascii="Times New Roman" w:hAnsi="Times New Roman" w:cs="Times New Roman"/>
          <w:color w:val="000000" w:themeColor="text1"/>
          <w:sz w:val="24"/>
          <w:szCs w:val="24"/>
        </w:rPr>
        <w:t xml:space="preserve">1. </w:t>
      </w:r>
      <w:r w:rsidRPr="00A214B0">
        <w:rPr>
          <w:rFonts w:ascii="Times New Roman" w:hAnsi="Times New Roman" w:cs="Times New Roman"/>
          <w:color w:val="000000" w:themeColor="text1"/>
          <w:sz w:val="24"/>
          <w:szCs w:val="24"/>
        </w:rPr>
        <w:t>评估范围</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纳入本次评估范围内的设备类资产包括机器设备、车辆及电子设备。其中：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机器设备共</w:t>
      </w:r>
      <w:r w:rsidRPr="00A214B0">
        <w:rPr>
          <w:rFonts w:ascii="Times New Roman" w:hAnsi="Times New Roman" w:cs="Times New Roman" w:hint="eastAsia"/>
          <w:color w:val="000000" w:themeColor="text1"/>
          <w:sz w:val="24"/>
          <w:szCs w:val="24"/>
        </w:rPr>
        <w:t>1114</w:t>
      </w:r>
      <w:r w:rsidRPr="00A214B0">
        <w:rPr>
          <w:rFonts w:ascii="Times New Roman" w:hAnsi="Times New Roman" w:cs="Times New Roman" w:hint="eastAsia"/>
          <w:color w:val="000000" w:themeColor="text1"/>
          <w:sz w:val="24"/>
          <w:szCs w:val="24"/>
        </w:rPr>
        <w:t>项，</w:t>
      </w:r>
      <w:r w:rsidRPr="00A214B0">
        <w:rPr>
          <w:rFonts w:ascii="Times New Roman" w:hAnsi="Times New Roman" w:cs="Times New Roman" w:hint="eastAsia"/>
          <w:color w:val="000000" w:themeColor="text1"/>
          <w:sz w:val="24"/>
          <w:szCs w:val="24"/>
        </w:rPr>
        <w:t>1377</w:t>
      </w:r>
      <w:r w:rsidRPr="00A214B0">
        <w:rPr>
          <w:rFonts w:ascii="Times New Roman" w:hAnsi="Times New Roman" w:cs="Times New Roman" w:hint="eastAsia"/>
          <w:color w:val="000000" w:themeColor="text1"/>
          <w:sz w:val="24"/>
          <w:szCs w:val="24"/>
        </w:rPr>
        <w:t>台（套），主要包括立式储罐、配套装车设备、锅炉、空压机、制冷机组等，机器设备主要购建于</w:t>
      </w:r>
      <w:r w:rsidRPr="00A214B0">
        <w:rPr>
          <w:rFonts w:ascii="Times New Roman" w:hAnsi="Times New Roman" w:cs="Times New Roman" w:hint="eastAsia"/>
          <w:color w:val="000000" w:themeColor="text1"/>
          <w:sz w:val="24"/>
          <w:szCs w:val="24"/>
        </w:rPr>
        <w:t>2007</w:t>
      </w:r>
      <w:r w:rsidRPr="00A214B0">
        <w:rPr>
          <w:rFonts w:ascii="Times New Roman" w:hAnsi="Times New Roman" w:cs="Times New Roman" w:hint="eastAsia"/>
          <w:color w:val="000000" w:themeColor="text1"/>
          <w:sz w:val="24"/>
          <w:szCs w:val="24"/>
        </w:rPr>
        <w:t>年以后。企业建立了健全的设备管理制度，由储运部工作人员负责立式储罐及配套设施的运行，设备维修有专职设备维修人员负责。经现场了解，企业的设备管理制度执行较规范，设备维护保养良好。其中，</w:t>
      </w:r>
      <w:r w:rsidRPr="00A214B0">
        <w:rPr>
          <w:rFonts w:ascii="Times New Roman" w:hAnsi="Times New Roman" w:cs="Times New Roman" w:hint="eastAsia"/>
          <w:color w:val="000000" w:themeColor="text1"/>
          <w:sz w:val="24"/>
          <w:szCs w:val="24"/>
        </w:rPr>
        <w:t>70</w:t>
      </w:r>
      <w:r w:rsidRPr="00A214B0">
        <w:rPr>
          <w:rFonts w:ascii="Times New Roman" w:hAnsi="Times New Roman" w:cs="Times New Roman" w:hint="eastAsia"/>
          <w:color w:val="000000" w:themeColor="text1"/>
          <w:sz w:val="24"/>
          <w:szCs w:val="24"/>
        </w:rPr>
        <w:t>台立式储罐为危险化学品储罐，属于特种设备，均按照《</w:t>
      </w:r>
      <w:r w:rsidRPr="00A214B0">
        <w:rPr>
          <w:rFonts w:ascii="Times New Roman" w:hAnsi="Times New Roman" w:cs="Times New Roman"/>
          <w:color w:val="000000" w:themeColor="text1"/>
          <w:sz w:val="24"/>
          <w:szCs w:val="24"/>
        </w:rPr>
        <w:t>特种设备安全监察条例</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color w:val="000000" w:themeColor="text1"/>
          <w:sz w:val="24"/>
          <w:szCs w:val="24"/>
        </w:rPr>
        <w:t>（国务院令第</w:t>
      </w:r>
      <w:r w:rsidRPr="00A214B0">
        <w:rPr>
          <w:rFonts w:ascii="Times New Roman" w:hAnsi="Times New Roman" w:cs="Times New Roman"/>
          <w:color w:val="000000" w:themeColor="text1"/>
          <w:sz w:val="24"/>
          <w:szCs w:val="24"/>
        </w:rPr>
        <w:t>373</w:t>
      </w:r>
      <w:r w:rsidRPr="00A214B0">
        <w:rPr>
          <w:rFonts w:ascii="Times New Roman" w:hAnsi="Times New Roman" w:cs="Times New Roman"/>
          <w:color w:val="000000" w:themeColor="text1"/>
          <w:sz w:val="24"/>
          <w:szCs w:val="24"/>
        </w:rPr>
        <w:t>号）</w:t>
      </w:r>
      <w:r w:rsidRPr="00A214B0">
        <w:rPr>
          <w:rFonts w:ascii="Times New Roman" w:hAnsi="Times New Roman" w:cs="Times New Roman" w:hint="eastAsia"/>
          <w:color w:val="000000" w:themeColor="text1"/>
          <w:sz w:val="24"/>
          <w:szCs w:val="24"/>
        </w:rPr>
        <w:t>的相关规定进行定期检验，评估人员现场核查了该部分设备的检验报告原件，其上次检验时间为</w:t>
      </w:r>
      <w:r w:rsidRPr="00A214B0">
        <w:rPr>
          <w:rFonts w:ascii="Times New Roman" w:hAnsi="Times New Roman" w:cs="Times New Roman" w:hint="eastAsia"/>
          <w:color w:val="000000" w:themeColor="text1"/>
          <w:sz w:val="24"/>
          <w:szCs w:val="24"/>
        </w:rPr>
        <w:t>2017</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11</w:t>
      </w:r>
      <w:r w:rsidRPr="00A214B0">
        <w:rPr>
          <w:rFonts w:ascii="Times New Roman" w:hAnsi="Times New Roman" w:cs="Times New Roman" w:hint="eastAsia"/>
          <w:color w:val="000000" w:themeColor="text1"/>
          <w:sz w:val="24"/>
          <w:szCs w:val="24"/>
        </w:rPr>
        <w:t>月至</w:t>
      </w:r>
      <w:r w:rsidRPr="00A214B0">
        <w:rPr>
          <w:rFonts w:ascii="Times New Roman" w:hAnsi="Times New Roman" w:cs="Times New Roman" w:hint="eastAsia"/>
          <w:color w:val="000000" w:themeColor="text1"/>
          <w:sz w:val="24"/>
          <w:szCs w:val="24"/>
        </w:rPr>
        <w:t>2019</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5</w:t>
      </w:r>
      <w:r w:rsidRPr="00A214B0">
        <w:rPr>
          <w:rFonts w:ascii="Times New Roman" w:hAnsi="Times New Roman" w:cs="Times New Roman" w:hint="eastAsia"/>
          <w:color w:val="000000" w:themeColor="text1"/>
          <w:sz w:val="24"/>
          <w:szCs w:val="24"/>
        </w:rPr>
        <w:t>月之间，检验周期为</w:t>
      </w:r>
      <w:r w:rsidRPr="00A214B0">
        <w:rPr>
          <w:rFonts w:ascii="Times New Roman" w:hAnsi="Times New Roman" w:cs="Times New Roman" w:hint="eastAsia"/>
          <w:color w:val="000000" w:themeColor="text1"/>
          <w:sz w:val="24"/>
          <w:szCs w:val="24"/>
        </w:rPr>
        <w:t>4</w:t>
      </w:r>
      <w:r w:rsidRPr="00A214B0">
        <w:rPr>
          <w:rFonts w:ascii="Times New Roman" w:hAnsi="Times New Roman" w:cs="Times New Roman" w:hint="eastAsia"/>
          <w:color w:val="000000" w:themeColor="text1"/>
          <w:sz w:val="24"/>
          <w:szCs w:val="24"/>
        </w:rPr>
        <w:t>年，均在有效期内。</w:t>
      </w:r>
      <w:r w:rsidRPr="00A214B0">
        <w:rPr>
          <w:rFonts w:ascii="Times New Roman" w:hAnsi="Times New Roman" w:cs="Times New Roman"/>
          <w:color w:val="000000" w:themeColor="text1"/>
          <w:sz w:val="24"/>
          <w:szCs w:val="24"/>
        </w:rPr>
        <w:t>至评估基准日</w:t>
      </w:r>
      <w:r w:rsidRPr="00A214B0">
        <w:rPr>
          <w:rFonts w:ascii="Times New Roman" w:hAnsi="Times New Roman" w:cs="Times New Roman" w:hint="eastAsia"/>
          <w:color w:val="000000" w:themeColor="text1"/>
          <w:sz w:val="24"/>
          <w:szCs w:val="24"/>
        </w:rPr>
        <w:t>，所有</w:t>
      </w:r>
      <w:r w:rsidRPr="00A214B0">
        <w:rPr>
          <w:rFonts w:ascii="Times New Roman" w:hAnsi="Times New Roman" w:cs="Times New Roman"/>
          <w:color w:val="000000" w:themeColor="text1"/>
          <w:sz w:val="24"/>
          <w:szCs w:val="24"/>
        </w:rPr>
        <w:t>机器设备均在正常使用中。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评估范围内，</w:t>
      </w:r>
      <w:r w:rsidRPr="00A214B0">
        <w:rPr>
          <w:rFonts w:ascii="Times New Roman" w:hAnsi="Times New Roman" w:cs="Times New Roman"/>
          <w:color w:val="000000" w:themeColor="text1"/>
          <w:sz w:val="24"/>
          <w:szCs w:val="24"/>
        </w:rPr>
        <w:t>车辆共</w:t>
      </w:r>
      <w:r w:rsidRPr="00A214B0">
        <w:rPr>
          <w:rFonts w:ascii="Times New Roman" w:hAnsi="Times New Roman" w:cs="Times New Roman" w:hint="eastAsia"/>
          <w:color w:val="000000" w:themeColor="text1"/>
          <w:sz w:val="24"/>
          <w:szCs w:val="24"/>
        </w:rPr>
        <w:t>7</w:t>
      </w:r>
      <w:r w:rsidRPr="00A214B0">
        <w:rPr>
          <w:rFonts w:ascii="Times New Roman" w:hAnsi="Times New Roman" w:cs="Times New Roman"/>
          <w:color w:val="000000" w:themeColor="text1"/>
          <w:sz w:val="24"/>
          <w:szCs w:val="24"/>
        </w:rPr>
        <w:t>辆，</w:t>
      </w:r>
      <w:r w:rsidRPr="00A214B0">
        <w:rPr>
          <w:rFonts w:ascii="Times New Roman" w:hAnsi="Times New Roman" w:cs="Times New Roman" w:hint="eastAsia"/>
          <w:color w:val="000000" w:themeColor="text1"/>
          <w:sz w:val="24"/>
          <w:szCs w:val="24"/>
        </w:rPr>
        <w:t>主要包括宇通牌客车及奥迪、大众、斯威、奔驰等品牌小型轿车或小型普通客车。其中账面一辆牌照苏</w:t>
      </w:r>
      <w:r w:rsidRPr="00A214B0">
        <w:rPr>
          <w:rFonts w:ascii="Times New Roman" w:hAnsi="Times New Roman" w:cs="Times New Roman" w:hint="eastAsia"/>
          <w:color w:val="000000" w:themeColor="text1"/>
          <w:sz w:val="24"/>
          <w:szCs w:val="24"/>
        </w:rPr>
        <w:t>A9B029</w:t>
      </w:r>
      <w:r w:rsidRPr="00A214B0">
        <w:rPr>
          <w:rFonts w:ascii="Times New Roman" w:hAnsi="Times New Roman" w:cs="Times New Roman" w:hint="eastAsia"/>
          <w:color w:val="000000" w:themeColor="text1"/>
          <w:sz w:val="24"/>
          <w:szCs w:val="24"/>
        </w:rPr>
        <w:t>的别克牌轿车，自购置以后由香港钟山有限公司江苏办事处使用，并于</w:t>
      </w:r>
      <w:r w:rsidRPr="00A214B0">
        <w:rPr>
          <w:rFonts w:ascii="Times New Roman" w:hAnsi="Times New Roman" w:cs="Times New Roman" w:hint="eastAsia"/>
          <w:color w:val="000000" w:themeColor="text1"/>
          <w:sz w:val="24"/>
          <w:szCs w:val="24"/>
        </w:rPr>
        <w:t>2016</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8</w:t>
      </w:r>
      <w:r w:rsidRPr="00A214B0">
        <w:rPr>
          <w:rFonts w:ascii="Times New Roman" w:hAnsi="Times New Roman" w:cs="Times New Roman" w:hint="eastAsia"/>
          <w:color w:val="000000" w:themeColor="text1"/>
          <w:sz w:val="24"/>
          <w:szCs w:val="24"/>
        </w:rPr>
        <w:t>月</w:t>
      </w:r>
      <w:r w:rsidRPr="00A214B0">
        <w:rPr>
          <w:rFonts w:ascii="Times New Roman" w:hAnsi="Times New Roman" w:cs="Times New Roman" w:hint="eastAsia"/>
          <w:color w:val="000000" w:themeColor="text1"/>
          <w:sz w:val="24"/>
          <w:szCs w:val="24"/>
        </w:rPr>
        <w:t>31</w:t>
      </w:r>
      <w:r w:rsidRPr="00A214B0">
        <w:rPr>
          <w:rFonts w:ascii="Times New Roman" w:hAnsi="Times New Roman" w:cs="Times New Roman" w:hint="eastAsia"/>
          <w:color w:val="000000" w:themeColor="text1"/>
          <w:sz w:val="24"/>
          <w:szCs w:val="24"/>
        </w:rPr>
        <w:t>日转让，香港钟山有限公司江苏办事处取得</w:t>
      </w:r>
      <w:r w:rsidRPr="00A214B0">
        <w:rPr>
          <w:rFonts w:ascii="Times New Roman" w:hAnsi="Times New Roman" w:cs="Times New Roman" w:hint="eastAsia"/>
          <w:color w:val="000000" w:themeColor="text1"/>
          <w:sz w:val="24"/>
          <w:szCs w:val="24"/>
        </w:rPr>
        <w:t>15,000.00</w:t>
      </w:r>
      <w:r w:rsidRPr="00A214B0">
        <w:rPr>
          <w:rFonts w:ascii="Times New Roman" w:hAnsi="Times New Roman" w:cs="Times New Roman" w:hint="eastAsia"/>
          <w:color w:val="000000" w:themeColor="text1"/>
          <w:sz w:val="24"/>
          <w:szCs w:val="24"/>
        </w:rPr>
        <w:t>元收入，账面一辆苏</w:t>
      </w:r>
      <w:r w:rsidRPr="00A214B0">
        <w:rPr>
          <w:rFonts w:ascii="Times New Roman" w:hAnsi="Times New Roman" w:cs="Times New Roman" w:hint="eastAsia"/>
          <w:color w:val="000000" w:themeColor="text1"/>
          <w:sz w:val="24"/>
          <w:szCs w:val="24"/>
        </w:rPr>
        <w:t>MZ1326</w:t>
      </w:r>
      <w:r w:rsidRPr="00A214B0">
        <w:rPr>
          <w:rFonts w:ascii="Times New Roman" w:hAnsi="Times New Roman" w:cs="Times New Roman" w:hint="eastAsia"/>
          <w:color w:val="000000" w:themeColor="text1"/>
          <w:sz w:val="24"/>
          <w:szCs w:val="24"/>
        </w:rPr>
        <w:t>的江铃全顺牌轻型客车已于评估基准日之后处置，企业取得</w:t>
      </w:r>
      <w:r w:rsidRPr="00A214B0">
        <w:rPr>
          <w:rFonts w:ascii="Times New Roman" w:hAnsi="Times New Roman" w:cs="Times New Roman" w:hint="eastAsia"/>
          <w:color w:val="000000" w:themeColor="text1"/>
          <w:sz w:val="24"/>
          <w:szCs w:val="24"/>
        </w:rPr>
        <w:t xml:space="preserve"> 7,844.66</w:t>
      </w:r>
      <w:r w:rsidRPr="00A214B0">
        <w:rPr>
          <w:rFonts w:ascii="Times New Roman" w:hAnsi="Times New Roman" w:cs="Times New Roman" w:hint="eastAsia"/>
          <w:color w:val="000000" w:themeColor="text1"/>
          <w:sz w:val="24"/>
          <w:szCs w:val="24"/>
        </w:rPr>
        <w:t>元的收入，上述已取得企业出具的专项说明。其余车辆主要购置于</w:t>
      </w:r>
      <w:r w:rsidRPr="00A214B0">
        <w:rPr>
          <w:rFonts w:ascii="Times New Roman" w:hAnsi="Times New Roman" w:cs="Times New Roman" w:hint="eastAsia"/>
          <w:color w:val="000000" w:themeColor="text1"/>
          <w:sz w:val="24"/>
          <w:szCs w:val="24"/>
        </w:rPr>
        <w:t>2013</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-2017</w:t>
      </w:r>
      <w:r w:rsidRPr="00A214B0">
        <w:rPr>
          <w:rFonts w:ascii="Times New Roman" w:hAnsi="Times New Roman" w:cs="Times New Roman" w:hint="eastAsia"/>
          <w:color w:val="000000" w:themeColor="text1"/>
          <w:sz w:val="24"/>
          <w:szCs w:val="24"/>
        </w:rPr>
        <w:t>年期间，车辆均配备专职司机，车辆日常的保养均由各司机负责，定期维护保养由专业汽车服务机构负责，经现场勘察了解，该部分车辆维护保养良好，至评估基准日车辆均在正常使用中。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电子设备共</w:t>
      </w:r>
      <w:r w:rsidRPr="00A214B0">
        <w:rPr>
          <w:rFonts w:ascii="Times New Roman" w:hAnsi="Times New Roman" w:cs="Times New Roman" w:hint="eastAsia"/>
          <w:color w:val="000000" w:themeColor="text1"/>
          <w:sz w:val="24"/>
          <w:szCs w:val="24"/>
        </w:rPr>
        <w:t>1297</w:t>
      </w:r>
      <w:r w:rsidRPr="00A214B0">
        <w:rPr>
          <w:rFonts w:ascii="Times New Roman" w:hAnsi="Times New Roman" w:cs="Times New Roman"/>
          <w:color w:val="000000" w:themeColor="text1"/>
          <w:sz w:val="24"/>
          <w:szCs w:val="24"/>
        </w:rPr>
        <w:t>台（套），</w:t>
      </w:r>
      <w:r w:rsidRPr="00A214B0">
        <w:rPr>
          <w:rFonts w:ascii="Times New Roman" w:hAnsi="Times New Roman" w:cs="Times New Roman" w:hint="eastAsia"/>
          <w:color w:val="000000" w:themeColor="text1"/>
          <w:sz w:val="24"/>
          <w:szCs w:val="24"/>
        </w:rPr>
        <w:t>主要</w:t>
      </w:r>
      <w:r w:rsidRPr="00A214B0">
        <w:rPr>
          <w:rFonts w:ascii="Times New Roman" w:hAnsi="Times New Roman" w:cs="Times New Roman"/>
          <w:color w:val="000000" w:themeColor="text1"/>
          <w:sz w:val="24"/>
          <w:szCs w:val="24"/>
        </w:rPr>
        <w:t>包括电脑、打印机、</w:t>
      </w:r>
      <w:r w:rsidRPr="00A214B0">
        <w:rPr>
          <w:rFonts w:ascii="Times New Roman" w:hAnsi="Times New Roman" w:cs="Times New Roman" w:hint="eastAsia"/>
          <w:color w:val="000000" w:themeColor="text1"/>
          <w:sz w:val="24"/>
          <w:szCs w:val="24"/>
        </w:rPr>
        <w:t>扫描仪及办公家具</w:t>
      </w:r>
      <w:r w:rsidRPr="00A214B0">
        <w:rPr>
          <w:rFonts w:ascii="Times New Roman" w:hAnsi="Times New Roman" w:cs="Times New Roman"/>
          <w:color w:val="000000" w:themeColor="text1"/>
          <w:sz w:val="24"/>
          <w:szCs w:val="24"/>
        </w:rPr>
        <w:t>等办公设备。</w:t>
      </w:r>
      <w:r w:rsidRPr="00A214B0">
        <w:rPr>
          <w:rFonts w:ascii="Times New Roman" w:hAnsi="Times New Roman" w:cs="Times New Roman" w:hint="eastAsia"/>
          <w:color w:val="000000" w:themeColor="text1"/>
          <w:sz w:val="24"/>
          <w:szCs w:val="24"/>
        </w:rPr>
        <w:t>电子设备</w:t>
      </w:r>
      <w:r w:rsidRPr="00A214B0">
        <w:rPr>
          <w:rFonts w:ascii="Times New Roman" w:hAnsi="Times New Roman" w:cs="Times New Roman"/>
          <w:color w:val="000000" w:themeColor="text1"/>
          <w:sz w:val="24"/>
          <w:szCs w:val="24"/>
        </w:rPr>
        <w:t>主要购</w:t>
      </w:r>
      <w:r w:rsidRPr="00A214B0">
        <w:rPr>
          <w:rFonts w:ascii="Times New Roman" w:hAnsi="Times New Roman" w:cs="Times New Roman" w:hint="eastAsia"/>
          <w:color w:val="000000" w:themeColor="text1"/>
          <w:sz w:val="24"/>
          <w:szCs w:val="24"/>
        </w:rPr>
        <w:t>置</w:t>
      </w:r>
      <w:r w:rsidRPr="00A214B0">
        <w:rPr>
          <w:rFonts w:ascii="Times New Roman" w:hAnsi="Times New Roman" w:cs="Times New Roman"/>
          <w:color w:val="000000" w:themeColor="text1"/>
          <w:sz w:val="24"/>
          <w:szCs w:val="24"/>
        </w:rPr>
        <w:t>于</w:t>
      </w:r>
      <w:r w:rsidRPr="00A214B0">
        <w:rPr>
          <w:rFonts w:ascii="Times New Roman" w:hAnsi="Times New Roman" w:cs="Times New Roman"/>
          <w:color w:val="000000" w:themeColor="text1"/>
          <w:sz w:val="24"/>
          <w:szCs w:val="24"/>
        </w:rPr>
        <w:t>201</w:t>
      </w:r>
      <w:r w:rsidRPr="00A214B0">
        <w:rPr>
          <w:rFonts w:ascii="Times New Roman" w:hAnsi="Times New Roman" w:cs="Times New Roman" w:hint="eastAsia"/>
          <w:color w:val="000000" w:themeColor="text1"/>
          <w:sz w:val="24"/>
          <w:szCs w:val="24"/>
        </w:rPr>
        <w:t>0</w:t>
      </w:r>
      <w:r w:rsidRPr="00A214B0">
        <w:rPr>
          <w:rFonts w:ascii="Times New Roman" w:hAnsi="Times New Roman" w:cs="Times New Roman"/>
          <w:color w:val="000000" w:themeColor="text1"/>
          <w:sz w:val="24"/>
          <w:szCs w:val="24"/>
        </w:rPr>
        <w:t>年</w:t>
      </w:r>
      <w:r w:rsidRPr="00A214B0">
        <w:rPr>
          <w:rFonts w:ascii="Times New Roman" w:hAnsi="Times New Roman" w:cs="Times New Roman"/>
          <w:color w:val="000000" w:themeColor="text1"/>
          <w:sz w:val="24"/>
          <w:szCs w:val="24"/>
        </w:rPr>
        <w:t>-201</w:t>
      </w:r>
      <w:r w:rsidRPr="00A214B0">
        <w:rPr>
          <w:rFonts w:ascii="Times New Roman" w:hAnsi="Times New Roman" w:cs="Times New Roman" w:hint="eastAsia"/>
          <w:color w:val="000000" w:themeColor="text1"/>
          <w:sz w:val="24"/>
          <w:szCs w:val="24"/>
        </w:rPr>
        <w:t>9</w:t>
      </w:r>
      <w:r w:rsidRPr="00A214B0">
        <w:rPr>
          <w:rFonts w:ascii="Times New Roman" w:hAnsi="Times New Roman" w:cs="Times New Roman"/>
          <w:color w:val="000000" w:themeColor="text1"/>
          <w:sz w:val="24"/>
          <w:szCs w:val="24"/>
        </w:rPr>
        <w:t>年期间，</w:t>
      </w:r>
      <w:r w:rsidRPr="00A214B0">
        <w:rPr>
          <w:rFonts w:ascii="Times New Roman" w:hAnsi="Times New Roman" w:cs="Times New Roman" w:hint="eastAsia"/>
          <w:color w:val="000000" w:themeColor="text1"/>
          <w:sz w:val="24"/>
          <w:szCs w:val="24"/>
        </w:rPr>
        <w:t>经现场勘察了解，电子设备由企业行政办公室负责管理及故障维修，各使用人员负责日常保养。维护保养情况良好，至评估基准日，电子设备均在正常使用中。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截止评估基准日，企业未申报上述资产涉及的抵（质）押、对外担保、保证等事项，评估人员经现场勘察了解，也未发现上述资产存在抵（质）押、对外担保、保证等事项。</w:t>
      </w:r>
    </w:p>
    <w:p w:rsidR="00D56508" w:rsidRPr="00A214B0" w:rsidRDefault="00F1265B">
      <w:pPr>
        <w:snapToGrid w:val="0"/>
        <w:spacing w:line="360" w:lineRule="auto"/>
        <w:ind w:firstLineChars="200" w:firstLine="480"/>
        <w:outlineLvl w:val="2"/>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2. </w:t>
      </w:r>
      <w:r w:rsidRPr="00A214B0">
        <w:rPr>
          <w:rFonts w:ascii="Times New Roman" w:hAnsi="Times New Roman" w:cs="Times New Roman"/>
          <w:color w:val="000000" w:themeColor="text1"/>
          <w:sz w:val="24"/>
          <w:szCs w:val="24"/>
        </w:rPr>
        <w:t>评估过程</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）核实工作</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①</w:t>
      </w:r>
      <w:r w:rsidRPr="00A214B0">
        <w:rPr>
          <w:rFonts w:ascii="Times New Roman" w:hAnsi="Times New Roman" w:cs="Times New Roman"/>
          <w:color w:val="000000" w:themeColor="text1"/>
          <w:sz w:val="24"/>
          <w:szCs w:val="24"/>
        </w:rPr>
        <w:t>根据企业的设备构成及特点，评估人员通过向企业的设备管理部门及使用部门发放设备资产清查评估明细表、设备状况调查表并对其填报要求采用集中讲解等方式，进行了尽职调查的先期工作，同时，根据企业的设备类型和具体情况，向企业提出了具体的设备评估资料清单。</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②</w:t>
      </w:r>
      <w:r w:rsidRPr="00A214B0">
        <w:rPr>
          <w:rFonts w:ascii="Times New Roman" w:hAnsi="Times New Roman" w:cs="Times New Roman"/>
          <w:color w:val="000000" w:themeColor="text1"/>
          <w:sz w:val="24"/>
          <w:szCs w:val="24"/>
        </w:rPr>
        <w:t>评估人员对企业提供的设备资产申报明细表，结合设备状况调查表、设备固定资产台账等资料进行检查，对申报表反映的资产信息所出现的明显疏漏、误导等瑕疵，提请企业进行必要补充和修改。</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③</w:t>
      </w:r>
      <w:r w:rsidRPr="00A214B0">
        <w:rPr>
          <w:rFonts w:ascii="Times New Roman" w:hAnsi="Times New Roman" w:cs="Times New Roman"/>
          <w:color w:val="000000" w:themeColor="text1"/>
          <w:sz w:val="24"/>
          <w:szCs w:val="24"/>
        </w:rPr>
        <w:t>根据设备资产申报明细表，评估人员按其分布地点、分类有重点地进行了现场清查核实。查阅了主要设备的技术资料和文件，并通过与设备管理人员和操作人员的交流、访谈，核实了主要设备的性能特征、运行状况、工艺能力、维修改造情况、购建过程及实际启用日期等情况；同时填写了设备的现场勘察记录、鉴定了成新率。</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④</w:t>
      </w:r>
      <w:r w:rsidRPr="00A214B0">
        <w:rPr>
          <w:rFonts w:ascii="Times New Roman" w:hAnsi="Times New Roman" w:cs="Times New Roman"/>
          <w:color w:val="000000" w:themeColor="text1"/>
          <w:sz w:val="24"/>
          <w:szCs w:val="24"/>
        </w:rPr>
        <w:t>根据现场勘察结果，进一步据实修正企业提供的设备资产申报明细表的填报信息，以使该类固定资产账、表、实相符一致，并由企业确认盖章后作为评估的依据。</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⑤</w:t>
      </w:r>
      <w:r w:rsidRPr="00A214B0">
        <w:rPr>
          <w:rFonts w:ascii="Times New Roman" w:hAnsi="Times New Roman" w:cs="Times New Roman"/>
          <w:color w:val="000000" w:themeColor="text1"/>
          <w:sz w:val="24"/>
          <w:szCs w:val="24"/>
        </w:rPr>
        <w:t>对重大设备，根据其形成企业资产的方式和背景，评估人员核实了有关权属。对企业投资购建的设备，评估人员查阅了相关购置合同、发票和付款凭据；对企业以其他方式形成的设备资产，评估人员查阅了资产来源的背景资料、有关合同或协议。</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）评定估算</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人员根据设备资产的技术特征、价值构成要素及其影响因素，结合评估资料及有关市场条件，选择公允、适宜的评估方法，分类进行评估值的测算。对评估初步结果结合其资产的历史成本、基准日市场行情等，进行合理性分析与比较，通过项目组专业评估成员交叉复核实后形成设备类资产评估汇总结果。</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）编制评估说明</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按有关资产评估准则要求的格式和内容，编制设备类资产的评估技术说明。</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）审核与修改</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按我公司资产评估报告审核程序，将设备类资产评估结果、评估技术说明、评估底稿等资料，提交我公司稽核职能部门进行全面审查，并根据审核提出的意见进行修改、补充或答疑。定稿后，及时整理、归集有关评估档案。</w:t>
      </w:r>
    </w:p>
    <w:p w:rsidR="00D56508" w:rsidRPr="00A214B0" w:rsidRDefault="00F1265B">
      <w:pPr>
        <w:snapToGrid w:val="0"/>
        <w:spacing w:line="360" w:lineRule="auto"/>
        <w:ind w:firstLineChars="200" w:firstLine="480"/>
        <w:outlineLvl w:val="2"/>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3. </w:t>
      </w:r>
      <w:r w:rsidRPr="00A214B0">
        <w:rPr>
          <w:rFonts w:ascii="Times New Roman" w:hAnsi="Times New Roman" w:cs="Times New Roman"/>
          <w:color w:val="000000" w:themeColor="text1"/>
          <w:sz w:val="24"/>
          <w:szCs w:val="24"/>
        </w:rPr>
        <w:t>评估方法</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rPr>
        <w:t>根据各类设备的特点、评估价值类型、资料收集情况等相关条件，</w:t>
      </w:r>
      <w:r w:rsidRPr="00A214B0">
        <w:rPr>
          <w:color w:val="000000" w:themeColor="text1"/>
          <w:szCs w:val="24"/>
        </w:rPr>
        <w:t>对设备主要采用重置成本法进行评估</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重置成本法是用现时条件下重新购置或建造一个全新状态的被评资产所需的全部成本，减去被评估资产已经发生的实体性陈旧贬值、功能性陈旧贬值和经济性陈旧贬值，得到的差额作为被评估资产的评估值的一种资产评估方法。</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采用重置成本法确定评估值也可首先估算被评估资产与其全新状态相比有几成新，即求出成新率，然后用全部成本与成新率相乘，得到的乘积作为评估值。</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szCs w:val="24"/>
        </w:rPr>
        <w:t>计算公式：评估值＝重置全价</w:t>
      </w:r>
      <w:r w:rsidRPr="00A214B0">
        <w:rPr>
          <w:color w:val="000000" w:themeColor="text1"/>
          <w:szCs w:val="24"/>
        </w:rPr>
        <w:t>×</w:t>
      </w:r>
      <w:r w:rsidRPr="00A214B0">
        <w:rPr>
          <w:color w:val="000000" w:themeColor="text1"/>
          <w:szCs w:val="24"/>
        </w:rPr>
        <w:t>成新率</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1</w:t>
      </w:r>
      <w:r w:rsidRPr="00A214B0">
        <w:rPr>
          <w:color w:val="000000" w:themeColor="text1"/>
          <w:szCs w:val="24"/>
        </w:rPr>
        <w:t>）重置全价的确定</w:t>
      </w:r>
      <w:r w:rsidRPr="00A214B0">
        <w:rPr>
          <w:color w:val="000000" w:themeColor="text1"/>
          <w:szCs w:val="24"/>
        </w:rPr>
        <w:t xml:space="preserve"> </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重置全价一般包括：设备购置价、运杂费、安装工程费、基础费、前期及其他费用和资金成本等。</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根据</w:t>
      </w:r>
      <w:r w:rsidRPr="00A214B0">
        <w:rPr>
          <w:color w:val="000000" w:themeColor="text1"/>
          <w:szCs w:val="24"/>
        </w:rPr>
        <w:t>“</w:t>
      </w:r>
      <w:r w:rsidRPr="00A214B0">
        <w:rPr>
          <w:color w:val="000000" w:themeColor="text1"/>
          <w:szCs w:val="24"/>
        </w:rPr>
        <w:t>财税〔</w:t>
      </w:r>
      <w:r w:rsidRPr="00A214B0">
        <w:rPr>
          <w:color w:val="000000" w:themeColor="text1"/>
          <w:szCs w:val="24"/>
        </w:rPr>
        <w:t>2016</w:t>
      </w:r>
      <w:r w:rsidRPr="00A214B0">
        <w:rPr>
          <w:color w:val="000000" w:themeColor="text1"/>
          <w:szCs w:val="24"/>
        </w:rPr>
        <w:t>〕</w:t>
      </w:r>
      <w:r w:rsidRPr="00A214B0">
        <w:rPr>
          <w:color w:val="000000" w:themeColor="text1"/>
          <w:szCs w:val="24"/>
        </w:rPr>
        <w:t xml:space="preserve">36 </w:t>
      </w:r>
      <w:r w:rsidRPr="00A214B0">
        <w:rPr>
          <w:color w:val="000000" w:themeColor="text1"/>
          <w:szCs w:val="24"/>
        </w:rPr>
        <w:t>号</w:t>
      </w:r>
      <w:r w:rsidRPr="00A214B0">
        <w:rPr>
          <w:color w:val="000000" w:themeColor="text1"/>
          <w:szCs w:val="24"/>
        </w:rPr>
        <w:t>”</w:t>
      </w:r>
      <w:r w:rsidRPr="00A214B0">
        <w:rPr>
          <w:color w:val="000000" w:themeColor="text1"/>
          <w:szCs w:val="24"/>
        </w:rPr>
        <w:t>文件规定，</w:t>
      </w:r>
      <w:r w:rsidRPr="00A214B0">
        <w:rPr>
          <w:color w:val="000000" w:themeColor="text1"/>
          <w:szCs w:val="24"/>
        </w:rPr>
        <w:t xml:space="preserve"> </w:t>
      </w:r>
      <w:r w:rsidRPr="00A214B0">
        <w:rPr>
          <w:color w:val="000000" w:themeColor="text1"/>
          <w:szCs w:val="24"/>
        </w:rPr>
        <w:t>对于增值税一般纳税人，符合增值税抵扣条件的设备，重置全价应该扣除相应的增值税。</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重置全价计算公式如下：</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重置全价</w:t>
      </w:r>
      <w:r w:rsidRPr="00A214B0">
        <w:rPr>
          <w:color w:val="000000" w:themeColor="text1"/>
          <w:szCs w:val="24"/>
        </w:rPr>
        <w:t>=</w:t>
      </w:r>
      <w:r w:rsidRPr="00A214B0">
        <w:rPr>
          <w:color w:val="000000" w:themeColor="text1"/>
          <w:szCs w:val="24"/>
        </w:rPr>
        <w:t>设备购置价</w:t>
      </w:r>
      <w:r w:rsidRPr="00A214B0">
        <w:rPr>
          <w:color w:val="000000" w:themeColor="text1"/>
          <w:szCs w:val="24"/>
        </w:rPr>
        <w:t>+</w:t>
      </w:r>
      <w:r w:rsidRPr="00A214B0">
        <w:rPr>
          <w:color w:val="000000" w:themeColor="text1"/>
          <w:szCs w:val="24"/>
        </w:rPr>
        <w:t>运杂费</w:t>
      </w:r>
      <w:r w:rsidRPr="00A214B0">
        <w:rPr>
          <w:color w:val="000000" w:themeColor="text1"/>
          <w:szCs w:val="24"/>
        </w:rPr>
        <w:t>+</w:t>
      </w:r>
      <w:r w:rsidRPr="00A214B0">
        <w:rPr>
          <w:color w:val="000000" w:themeColor="text1"/>
          <w:szCs w:val="24"/>
        </w:rPr>
        <w:t>安装工程费</w:t>
      </w:r>
      <w:r w:rsidRPr="00A214B0">
        <w:rPr>
          <w:color w:val="000000" w:themeColor="text1"/>
          <w:szCs w:val="24"/>
        </w:rPr>
        <w:t>+</w:t>
      </w:r>
      <w:r w:rsidRPr="00A214B0">
        <w:rPr>
          <w:color w:val="000000" w:themeColor="text1"/>
          <w:szCs w:val="24"/>
        </w:rPr>
        <w:t>基础费</w:t>
      </w:r>
      <w:r w:rsidRPr="00A214B0">
        <w:rPr>
          <w:color w:val="000000" w:themeColor="text1"/>
          <w:szCs w:val="24"/>
        </w:rPr>
        <w:t>+</w:t>
      </w:r>
      <w:r w:rsidRPr="00A214B0">
        <w:rPr>
          <w:color w:val="000000" w:themeColor="text1"/>
          <w:szCs w:val="24"/>
        </w:rPr>
        <w:t>前期及其他费用</w:t>
      </w:r>
      <w:r w:rsidRPr="00A214B0">
        <w:rPr>
          <w:color w:val="000000" w:themeColor="text1"/>
          <w:szCs w:val="24"/>
        </w:rPr>
        <w:t>+</w:t>
      </w:r>
      <w:r w:rsidRPr="00A214B0">
        <w:rPr>
          <w:color w:val="000000" w:themeColor="text1"/>
          <w:szCs w:val="24"/>
        </w:rPr>
        <w:t>资金成本</w:t>
      </w:r>
      <w:r w:rsidRPr="00A214B0">
        <w:rPr>
          <w:color w:val="000000" w:themeColor="text1"/>
          <w:szCs w:val="24"/>
        </w:rPr>
        <w:t>-</w:t>
      </w:r>
      <w:r w:rsidRPr="00A214B0">
        <w:rPr>
          <w:color w:val="000000" w:themeColor="text1"/>
          <w:szCs w:val="24"/>
        </w:rPr>
        <w:t>可抵扣的增值税</w:t>
      </w:r>
      <w:r w:rsidRPr="00A214B0">
        <w:rPr>
          <w:color w:val="000000" w:themeColor="text1"/>
          <w:szCs w:val="24"/>
        </w:rPr>
        <w:t xml:space="preserve"> </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①</w:t>
      </w:r>
      <w:r w:rsidRPr="00A214B0">
        <w:rPr>
          <w:color w:val="000000" w:themeColor="text1"/>
          <w:szCs w:val="24"/>
        </w:rPr>
        <w:t>机器设备重置全价的确定</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A.</w:t>
      </w:r>
      <w:r w:rsidRPr="00A214B0">
        <w:rPr>
          <w:color w:val="000000" w:themeColor="text1"/>
          <w:szCs w:val="24"/>
        </w:rPr>
        <w:t>设备购置价</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lang w:val="en-US"/>
        </w:rPr>
        <w:t>对于大型关键设备，主要是通过向生产厂家咨询评估基准日市场价格，或参考评估基准日近期同类设备的合同价，或参照《</w:t>
      </w:r>
      <w:r w:rsidRPr="00A214B0">
        <w:rPr>
          <w:color w:val="000000" w:themeColor="text1"/>
          <w:szCs w:val="24"/>
          <w:lang w:val="en-US"/>
        </w:rPr>
        <w:t>2019</w:t>
      </w:r>
      <w:r w:rsidRPr="00A214B0">
        <w:rPr>
          <w:color w:val="000000" w:themeColor="text1"/>
          <w:szCs w:val="24"/>
          <w:lang w:val="en-US"/>
        </w:rPr>
        <w:t>年机电产品报价目录》确定购置价；</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对于小型设备主要是通过查询评估基准日的市场报价信息确定购置价；</w:t>
      </w:r>
    </w:p>
    <w:p w:rsidR="00D56508" w:rsidRPr="00A214B0" w:rsidRDefault="00F1265B">
      <w:pPr>
        <w:pStyle w:val="a1"/>
        <w:adjustRightInd w:val="0"/>
        <w:snapToGrid w:val="0"/>
        <w:spacing w:line="360" w:lineRule="auto"/>
        <w:rPr>
          <w:color w:val="000000" w:themeColor="text1"/>
          <w:szCs w:val="24"/>
        </w:rPr>
      </w:pPr>
      <w:r w:rsidRPr="00A214B0">
        <w:rPr>
          <w:color w:val="000000" w:themeColor="text1"/>
          <w:szCs w:val="24"/>
        </w:rPr>
        <w:t>对于未能查询到市场报价信息的设备，主要是通过参考同类设备的购置价调整确定。</w:t>
      </w:r>
    </w:p>
    <w:p w:rsidR="00D56508" w:rsidRPr="00A214B0" w:rsidRDefault="00F1265B">
      <w:pPr>
        <w:snapToGrid w:val="0"/>
        <w:spacing w:line="360" w:lineRule="auto"/>
        <w:ind w:firstLineChars="200" w:firstLine="420"/>
        <w:rPr>
          <w:rFonts w:ascii="Times New Roman" w:hAnsi="Times New Roman" w:cs="Times New Roman"/>
          <w:vanish/>
          <w:color w:val="000000" w:themeColor="text1"/>
          <w:kern w:val="0"/>
          <w:szCs w:val="24"/>
        </w:rPr>
      </w:pPr>
      <w:r w:rsidRPr="00A214B0">
        <w:rPr>
          <w:rFonts w:ascii="Times New Roman" w:hAnsi="Times New Roman" w:cs="Times New Roman"/>
          <w:vanish/>
          <w:color w:val="000000" w:themeColor="text1"/>
          <w:kern w:val="0"/>
          <w:szCs w:val="24"/>
        </w:rPr>
        <w:t>其中：</w:t>
      </w:r>
      <w:r w:rsidRPr="00A214B0">
        <w:rPr>
          <w:rFonts w:ascii="Times New Roman" w:hAnsi="Times New Roman" w:cs="Times New Roman"/>
          <w:vanish/>
          <w:color w:val="000000" w:themeColor="text1"/>
          <w:kern w:val="0"/>
          <w:szCs w:val="24"/>
        </w:rPr>
        <w:t>CIF=FOB+</w:t>
      </w:r>
      <w:r w:rsidRPr="00A214B0">
        <w:rPr>
          <w:rFonts w:ascii="Times New Roman" w:hAnsi="Times New Roman" w:cs="Times New Roman"/>
          <w:vanish/>
          <w:color w:val="000000" w:themeColor="text1"/>
          <w:kern w:val="0"/>
          <w:szCs w:val="24"/>
        </w:rPr>
        <w:t>海运费</w:t>
      </w:r>
      <w:r w:rsidRPr="00A214B0">
        <w:rPr>
          <w:rFonts w:ascii="Times New Roman" w:hAnsi="Times New Roman" w:cs="Times New Roman"/>
          <w:vanish/>
          <w:color w:val="000000" w:themeColor="text1"/>
          <w:kern w:val="0"/>
          <w:szCs w:val="24"/>
        </w:rPr>
        <w:t>+</w:t>
      </w:r>
      <w:r w:rsidRPr="00A214B0">
        <w:rPr>
          <w:rFonts w:ascii="Times New Roman" w:hAnsi="Times New Roman" w:cs="Times New Roman"/>
          <w:vanish/>
          <w:color w:val="000000" w:themeColor="text1"/>
          <w:kern w:val="0"/>
          <w:szCs w:val="24"/>
        </w:rPr>
        <w:t>海运保险费</w:t>
      </w:r>
    </w:p>
    <w:p w:rsidR="00D56508" w:rsidRPr="00A214B0" w:rsidRDefault="00F1265B">
      <w:pPr>
        <w:snapToGrid w:val="0"/>
        <w:spacing w:line="360" w:lineRule="auto"/>
        <w:ind w:firstLineChars="200" w:firstLine="420"/>
        <w:rPr>
          <w:rFonts w:ascii="Times New Roman" w:hAnsi="Times New Roman" w:cs="Times New Roman"/>
          <w:vanish/>
          <w:color w:val="000000" w:themeColor="text1"/>
          <w:kern w:val="0"/>
          <w:szCs w:val="24"/>
        </w:rPr>
      </w:pPr>
      <w:r w:rsidRPr="00A214B0">
        <w:rPr>
          <w:rFonts w:ascii="Times New Roman" w:hAnsi="Times New Roman" w:cs="Times New Roman"/>
          <w:vanish/>
          <w:color w:val="000000" w:themeColor="text1"/>
          <w:kern w:val="0"/>
          <w:szCs w:val="24"/>
        </w:rPr>
        <w:t>海运费</w:t>
      </w:r>
      <w:r w:rsidRPr="00A214B0">
        <w:rPr>
          <w:rFonts w:ascii="Times New Roman" w:hAnsi="Times New Roman" w:cs="Times New Roman"/>
          <w:vanish/>
          <w:color w:val="000000" w:themeColor="text1"/>
          <w:kern w:val="0"/>
          <w:szCs w:val="24"/>
        </w:rPr>
        <w:t>=FOB×</w:t>
      </w:r>
      <w:r w:rsidRPr="00A214B0">
        <w:rPr>
          <w:rFonts w:ascii="Times New Roman" w:hAnsi="Times New Roman" w:cs="Times New Roman"/>
          <w:vanish/>
          <w:color w:val="000000" w:themeColor="text1"/>
          <w:kern w:val="0"/>
          <w:szCs w:val="24"/>
        </w:rPr>
        <w:t>海运费率</w:t>
      </w:r>
    </w:p>
    <w:p w:rsidR="00D56508" w:rsidRPr="00A214B0" w:rsidRDefault="00F1265B">
      <w:pPr>
        <w:snapToGrid w:val="0"/>
        <w:spacing w:line="360" w:lineRule="auto"/>
        <w:ind w:firstLineChars="200" w:firstLine="420"/>
        <w:rPr>
          <w:rFonts w:ascii="Times New Roman" w:hAnsi="Times New Roman" w:cs="Times New Roman"/>
          <w:vanish/>
          <w:color w:val="000000" w:themeColor="text1"/>
          <w:kern w:val="0"/>
          <w:szCs w:val="24"/>
        </w:rPr>
      </w:pPr>
      <w:r w:rsidRPr="00A214B0">
        <w:rPr>
          <w:rFonts w:ascii="Times New Roman" w:hAnsi="Times New Roman" w:cs="Times New Roman"/>
          <w:vanish/>
          <w:color w:val="000000" w:themeColor="text1"/>
          <w:kern w:val="0"/>
          <w:szCs w:val="24"/>
        </w:rPr>
        <w:t>海运保险费</w:t>
      </w:r>
      <w:r w:rsidRPr="00A214B0">
        <w:rPr>
          <w:rFonts w:ascii="Times New Roman" w:hAnsi="Times New Roman" w:cs="Times New Roman"/>
          <w:vanish/>
          <w:color w:val="000000" w:themeColor="text1"/>
          <w:kern w:val="0"/>
          <w:szCs w:val="24"/>
        </w:rPr>
        <w:t>=(FOB+</w:t>
      </w:r>
      <w:r w:rsidRPr="00A214B0">
        <w:rPr>
          <w:rFonts w:ascii="Times New Roman" w:hAnsi="Times New Roman" w:cs="Times New Roman"/>
          <w:vanish/>
          <w:color w:val="000000" w:themeColor="text1"/>
          <w:kern w:val="0"/>
          <w:szCs w:val="24"/>
        </w:rPr>
        <w:t>海运费</w:t>
      </w:r>
      <w:r w:rsidRPr="00A214B0">
        <w:rPr>
          <w:rFonts w:ascii="Times New Roman" w:hAnsi="Times New Roman" w:cs="Times New Roman"/>
          <w:vanish/>
          <w:color w:val="000000" w:themeColor="text1"/>
          <w:kern w:val="0"/>
          <w:szCs w:val="24"/>
        </w:rPr>
        <w:t>)×</w:t>
      </w:r>
      <w:r w:rsidRPr="00A214B0">
        <w:rPr>
          <w:rFonts w:ascii="Times New Roman" w:hAnsi="Times New Roman" w:cs="Times New Roman"/>
          <w:vanish/>
          <w:color w:val="000000" w:themeColor="text1"/>
          <w:kern w:val="0"/>
          <w:szCs w:val="24"/>
        </w:rPr>
        <w:t>费率</w:t>
      </w:r>
    </w:p>
    <w:p w:rsidR="00D56508" w:rsidRPr="00A214B0" w:rsidRDefault="00F1265B">
      <w:pPr>
        <w:snapToGrid w:val="0"/>
        <w:spacing w:line="360" w:lineRule="auto"/>
        <w:ind w:firstLineChars="200" w:firstLine="420"/>
        <w:rPr>
          <w:rFonts w:ascii="Times New Roman" w:hAnsi="Times New Roman" w:cs="Times New Roman"/>
          <w:vanish/>
          <w:color w:val="000000" w:themeColor="text1"/>
          <w:kern w:val="0"/>
          <w:szCs w:val="24"/>
        </w:rPr>
      </w:pPr>
      <w:r w:rsidRPr="00A214B0">
        <w:rPr>
          <w:rFonts w:ascii="Times New Roman" w:hAnsi="Times New Roman" w:cs="Times New Roman"/>
          <w:vanish/>
          <w:color w:val="000000" w:themeColor="text1"/>
          <w:kern w:val="0"/>
          <w:szCs w:val="24"/>
        </w:rPr>
        <w:t>关税</w:t>
      </w:r>
      <w:r w:rsidRPr="00A214B0">
        <w:rPr>
          <w:rFonts w:ascii="Times New Roman" w:hAnsi="Times New Roman" w:cs="Times New Roman"/>
          <w:vanish/>
          <w:color w:val="000000" w:themeColor="text1"/>
          <w:kern w:val="0"/>
          <w:szCs w:val="24"/>
        </w:rPr>
        <w:t>= CIF×</w:t>
      </w:r>
      <w:r w:rsidRPr="00A214B0">
        <w:rPr>
          <w:rFonts w:ascii="Times New Roman" w:hAnsi="Times New Roman" w:cs="Times New Roman"/>
          <w:vanish/>
          <w:color w:val="000000" w:themeColor="text1"/>
          <w:kern w:val="0"/>
          <w:szCs w:val="24"/>
        </w:rPr>
        <w:t>关税税率</w:t>
      </w:r>
    </w:p>
    <w:p w:rsidR="00D56508" w:rsidRPr="00A214B0" w:rsidRDefault="00F1265B">
      <w:pPr>
        <w:snapToGrid w:val="0"/>
        <w:spacing w:line="360" w:lineRule="auto"/>
        <w:ind w:firstLineChars="200" w:firstLine="420"/>
        <w:rPr>
          <w:rFonts w:ascii="Times New Roman" w:hAnsi="Times New Roman" w:cs="Times New Roman"/>
          <w:vanish/>
          <w:color w:val="000000" w:themeColor="text1"/>
          <w:kern w:val="0"/>
          <w:szCs w:val="24"/>
        </w:rPr>
      </w:pPr>
      <w:r w:rsidRPr="00A214B0">
        <w:rPr>
          <w:rFonts w:ascii="Times New Roman" w:hAnsi="Times New Roman" w:cs="Times New Roman"/>
          <w:vanish/>
          <w:color w:val="000000" w:themeColor="text1"/>
          <w:kern w:val="0"/>
          <w:szCs w:val="24"/>
        </w:rPr>
        <w:t>银行手续费</w:t>
      </w:r>
      <w:r w:rsidRPr="00A214B0">
        <w:rPr>
          <w:rFonts w:ascii="Times New Roman" w:hAnsi="Times New Roman" w:cs="Times New Roman"/>
          <w:vanish/>
          <w:color w:val="000000" w:themeColor="text1"/>
          <w:kern w:val="0"/>
          <w:szCs w:val="24"/>
        </w:rPr>
        <w:t>= CIF×(0.4%</w:t>
      </w:r>
      <w:r w:rsidRPr="00A214B0">
        <w:rPr>
          <w:rFonts w:ascii="Times New Roman" w:hAnsi="Times New Roman" w:cs="Times New Roman"/>
          <w:vanish/>
          <w:color w:val="000000" w:themeColor="text1"/>
          <w:kern w:val="0"/>
          <w:szCs w:val="24"/>
        </w:rPr>
        <w:t>至</w:t>
      </w:r>
      <w:r w:rsidRPr="00A214B0">
        <w:rPr>
          <w:rFonts w:ascii="Times New Roman" w:hAnsi="Times New Roman" w:cs="Times New Roman"/>
          <w:vanish/>
          <w:color w:val="000000" w:themeColor="text1"/>
          <w:kern w:val="0"/>
          <w:szCs w:val="24"/>
        </w:rPr>
        <w:t>0.5%)</w:t>
      </w:r>
    </w:p>
    <w:p w:rsidR="00D56508" w:rsidRPr="00A214B0" w:rsidRDefault="00F1265B">
      <w:pPr>
        <w:snapToGrid w:val="0"/>
        <w:spacing w:line="360" w:lineRule="auto"/>
        <w:ind w:firstLineChars="200" w:firstLine="420"/>
        <w:rPr>
          <w:rFonts w:ascii="Times New Roman" w:hAnsi="Times New Roman" w:cs="Times New Roman"/>
          <w:vanish/>
          <w:color w:val="000000" w:themeColor="text1"/>
          <w:kern w:val="0"/>
          <w:szCs w:val="24"/>
        </w:rPr>
      </w:pPr>
      <w:r w:rsidRPr="00A214B0">
        <w:rPr>
          <w:rFonts w:ascii="Times New Roman" w:hAnsi="Times New Roman" w:cs="Times New Roman"/>
          <w:vanish/>
          <w:color w:val="000000" w:themeColor="text1"/>
          <w:kern w:val="0"/>
          <w:szCs w:val="24"/>
        </w:rPr>
        <w:t>外贸代理费</w:t>
      </w:r>
      <w:r w:rsidRPr="00A214B0">
        <w:rPr>
          <w:rFonts w:ascii="Times New Roman" w:hAnsi="Times New Roman" w:cs="Times New Roman"/>
          <w:vanish/>
          <w:color w:val="000000" w:themeColor="text1"/>
          <w:kern w:val="0"/>
          <w:szCs w:val="24"/>
        </w:rPr>
        <w:t>= CIF×</w:t>
      </w:r>
      <w:r w:rsidRPr="00A214B0">
        <w:rPr>
          <w:rFonts w:ascii="Times New Roman" w:hAnsi="Times New Roman" w:cs="Times New Roman"/>
          <w:vanish/>
          <w:color w:val="000000" w:themeColor="text1"/>
          <w:kern w:val="0"/>
          <w:szCs w:val="24"/>
        </w:rPr>
        <w:t>费率</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B.</w:t>
      </w:r>
      <w:r w:rsidRPr="00A214B0">
        <w:rPr>
          <w:color w:val="000000" w:themeColor="text1"/>
          <w:szCs w:val="24"/>
        </w:rPr>
        <w:t>运杂费</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运杂费是指设备在运输过程中的运输费、装卸搬运费及其他有关的各项杂费。</w:t>
      </w:r>
    </w:p>
    <w:p w:rsidR="00D56508" w:rsidRPr="00A214B0" w:rsidRDefault="00F1265B">
      <w:pPr>
        <w:pStyle w:val="a1"/>
        <w:adjustRightInd w:val="0"/>
        <w:snapToGrid w:val="0"/>
        <w:spacing w:line="360" w:lineRule="auto"/>
        <w:ind w:firstLine="0"/>
        <w:rPr>
          <w:color w:val="000000" w:themeColor="text1"/>
        </w:rPr>
      </w:pPr>
      <w:r w:rsidRPr="00A214B0">
        <w:rPr>
          <w:color w:val="000000" w:themeColor="text1"/>
        </w:rPr>
        <w:t>对于</w:t>
      </w:r>
      <w:r w:rsidRPr="00A214B0">
        <w:rPr>
          <w:color w:val="000000" w:themeColor="text1"/>
          <w:szCs w:val="24"/>
        </w:rPr>
        <w:t>设备生产厂家承担运杂费或</w:t>
      </w:r>
      <w:r w:rsidRPr="00A214B0">
        <w:rPr>
          <w:color w:val="000000" w:themeColor="text1"/>
        </w:rPr>
        <w:t>卖方报价中含运杂费的设备，不再计取运杂费；</w:t>
      </w:r>
      <w:r w:rsidRPr="00A214B0">
        <w:rPr>
          <w:color w:val="000000" w:themeColor="text1"/>
        </w:rPr>
        <w:t xml:space="preserve"> </w:t>
      </w:r>
      <w:r w:rsidRPr="00A214B0">
        <w:rPr>
          <w:color w:val="000000" w:themeColor="text1"/>
        </w:rPr>
        <w:t>对于卖方报价中不包含运杂费的设备，结合设备运输方式及运输距离等确定。</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运杂费计算公式如下：</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运杂费</w:t>
      </w:r>
      <w:r w:rsidRPr="00A214B0">
        <w:rPr>
          <w:color w:val="000000" w:themeColor="text1"/>
        </w:rPr>
        <w:t>=</w:t>
      </w:r>
      <w:r w:rsidRPr="00A214B0">
        <w:rPr>
          <w:color w:val="000000" w:themeColor="text1"/>
        </w:rPr>
        <w:t>设备购置价</w:t>
      </w:r>
      <w:r w:rsidRPr="00A214B0">
        <w:rPr>
          <w:color w:val="000000" w:themeColor="text1"/>
        </w:rPr>
        <w:t xml:space="preserve">× </w:t>
      </w:r>
      <w:r w:rsidRPr="00A214B0">
        <w:rPr>
          <w:color w:val="000000" w:themeColor="text1"/>
        </w:rPr>
        <w:t>运杂费率</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rPr>
        <w:t>运杂费率参照《机械工业建设项目概算编制办法及各项概算指标》及</w:t>
      </w:r>
      <w:r w:rsidRPr="00A214B0">
        <w:rPr>
          <w:color w:val="000000" w:themeColor="text1"/>
          <w:szCs w:val="24"/>
        </w:rPr>
        <w:t>《资产评估常用数据与参数手册》提供的运杂费参考费率确定。</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C.</w:t>
      </w:r>
      <w:r w:rsidRPr="00A214B0">
        <w:rPr>
          <w:color w:val="000000" w:themeColor="text1"/>
          <w:szCs w:val="24"/>
        </w:rPr>
        <w:t>安装工程费</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rPr>
        <w:t>依据设备特点、</w:t>
      </w:r>
      <w:r w:rsidRPr="00A214B0">
        <w:rPr>
          <w:color w:val="000000" w:themeColor="text1"/>
          <w:szCs w:val="24"/>
        </w:rPr>
        <w:t>安装的难易程度，</w:t>
      </w:r>
      <w:r w:rsidRPr="00A214B0">
        <w:rPr>
          <w:color w:val="000000" w:themeColor="text1"/>
        </w:rPr>
        <w:t>参照企业所在地地方定额、</w:t>
      </w:r>
      <w:r w:rsidRPr="00A214B0">
        <w:rPr>
          <w:color w:val="000000" w:themeColor="text1"/>
        </w:rPr>
        <w:t xml:space="preserve"> </w:t>
      </w:r>
      <w:r w:rsidRPr="00A214B0">
        <w:rPr>
          <w:color w:val="000000" w:themeColor="text1"/>
        </w:rPr>
        <w:t>相关专业定额或参考《资产评估常用方法与参数手册》提供的安装费参考费率，同时考虑被评估单位以往有关设备安装费用支出情况分析确定。</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D.</w:t>
      </w:r>
      <w:r w:rsidRPr="00A214B0">
        <w:rPr>
          <w:color w:val="000000" w:themeColor="text1"/>
          <w:szCs w:val="24"/>
        </w:rPr>
        <w:t>基础费</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根据被评估设备情况，参照《资产评估常用数据与参数手册》相关设备基础费率，以含税设备购置价为基础予以测算确认。</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E.</w:t>
      </w:r>
      <w:r w:rsidRPr="00A214B0">
        <w:rPr>
          <w:color w:val="000000" w:themeColor="text1"/>
          <w:szCs w:val="24"/>
        </w:rPr>
        <w:t>前期及其它费用</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前期及其他费用包括建设单位管理费，设计费、工程建设监理费、招标代理服务费、可性研究费、环境评价费、联合试运转费等。</w:t>
      </w:r>
      <w:r w:rsidRPr="00A214B0">
        <w:rPr>
          <w:color w:val="000000" w:themeColor="text1"/>
        </w:rPr>
        <w:t>按照被评估单位的工程建设投资额，根据行业、国家或地方政府相关规定的收费标准计取。</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F.</w:t>
      </w:r>
      <w:r w:rsidRPr="00A214B0">
        <w:rPr>
          <w:color w:val="000000" w:themeColor="text1"/>
          <w:szCs w:val="24"/>
        </w:rPr>
        <w:t>资金成本</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根据被评估单位的合理建设工期，参照评估基准日中国人民银行发布的同期金融机构人民币贷款基准利率，按照资金均匀投入计取。</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资金成本计算公式如下：</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rPr>
        <w:t>资金成本</w:t>
      </w:r>
      <w:r w:rsidRPr="00A214B0">
        <w:rPr>
          <w:color w:val="000000" w:themeColor="text1"/>
        </w:rPr>
        <w:t>=(</w:t>
      </w:r>
      <w:r w:rsidRPr="00A214B0">
        <w:rPr>
          <w:color w:val="000000" w:themeColor="text1"/>
        </w:rPr>
        <w:t>设备购置价</w:t>
      </w:r>
      <w:r w:rsidRPr="00A214B0">
        <w:rPr>
          <w:color w:val="000000" w:themeColor="text1"/>
        </w:rPr>
        <w:t>+</w:t>
      </w:r>
      <w:r w:rsidRPr="00A214B0">
        <w:rPr>
          <w:color w:val="000000" w:themeColor="text1"/>
        </w:rPr>
        <w:t>运杂费</w:t>
      </w:r>
      <w:r w:rsidRPr="00A214B0">
        <w:rPr>
          <w:color w:val="000000" w:themeColor="text1"/>
        </w:rPr>
        <w:t>+</w:t>
      </w:r>
      <w:r w:rsidRPr="00A214B0">
        <w:rPr>
          <w:color w:val="000000" w:themeColor="text1"/>
        </w:rPr>
        <w:t>安装工程费</w:t>
      </w:r>
      <w:r w:rsidRPr="00A214B0">
        <w:rPr>
          <w:color w:val="000000" w:themeColor="text1"/>
        </w:rPr>
        <w:t>+</w:t>
      </w:r>
      <w:r w:rsidRPr="00A214B0">
        <w:rPr>
          <w:color w:val="000000" w:themeColor="text1"/>
        </w:rPr>
        <w:t>基础费</w:t>
      </w:r>
      <w:r w:rsidRPr="00A214B0">
        <w:rPr>
          <w:color w:val="000000" w:themeColor="text1"/>
        </w:rPr>
        <w:t>+</w:t>
      </w:r>
      <w:r w:rsidRPr="00A214B0">
        <w:rPr>
          <w:color w:val="000000" w:themeColor="text1"/>
        </w:rPr>
        <w:t>前期及其他费用</w:t>
      </w:r>
      <w:r w:rsidRPr="00A214B0">
        <w:rPr>
          <w:color w:val="000000" w:themeColor="text1"/>
        </w:rPr>
        <w:t>)×</w:t>
      </w:r>
      <w:r w:rsidRPr="00A214B0">
        <w:rPr>
          <w:color w:val="000000" w:themeColor="text1"/>
        </w:rPr>
        <w:t>合理建设工期</w:t>
      </w:r>
      <w:r w:rsidRPr="00A214B0">
        <w:rPr>
          <w:color w:val="000000" w:themeColor="text1"/>
        </w:rPr>
        <w:t xml:space="preserve">× </w:t>
      </w:r>
      <w:r w:rsidRPr="00A214B0">
        <w:rPr>
          <w:color w:val="000000" w:themeColor="text1"/>
        </w:rPr>
        <w:t>贷款基准利率</w:t>
      </w:r>
      <w:r w:rsidRPr="00A214B0">
        <w:rPr>
          <w:color w:val="000000" w:themeColor="text1"/>
        </w:rPr>
        <w:t>× 1/2</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对于合理工期在</w:t>
      </w:r>
      <w:r w:rsidRPr="00A214B0">
        <w:rPr>
          <w:color w:val="000000" w:themeColor="text1"/>
          <w:szCs w:val="24"/>
        </w:rPr>
        <w:t>6</w:t>
      </w:r>
      <w:r w:rsidRPr="00A214B0">
        <w:rPr>
          <w:color w:val="000000" w:themeColor="text1"/>
          <w:szCs w:val="24"/>
        </w:rPr>
        <w:t>个月以上的计算其资金成本。</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H.</w:t>
      </w:r>
      <w:r w:rsidRPr="00A214B0">
        <w:rPr>
          <w:color w:val="000000" w:themeColor="text1"/>
        </w:rPr>
        <w:t>设备购置价中可抵扣的增值税</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 xml:space="preserve"> </w:t>
      </w:r>
      <w:r w:rsidRPr="00A214B0">
        <w:rPr>
          <w:color w:val="000000" w:themeColor="text1"/>
        </w:rPr>
        <w:t>根据</w:t>
      </w:r>
      <w:r w:rsidRPr="00A214B0">
        <w:rPr>
          <w:color w:val="000000" w:themeColor="text1"/>
        </w:rPr>
        <w:t>“</w:t>
      </w:r>
      <w:r w:rsidRPr="00A214B0">
        <w:rPr>
          <w:color w:val="000000" w:themeColor="text1"/>
        </w:rPr>
        <w:t>财税</w:t>
      </w:r>
      <w:r w:rsidRPr="00A214B0">
        <w:rPr>
          <w:color w:val="000000" w:themeColor="text1"/>
        </w:rPr>
        <w:t>[2008]170</w:t>
      </w:r>
      <w:r w:rsidRPr="00A214B0">
        <w:rPr>
          <w:color w:val="000000" w:themeColor="text1"/>
        </w:rPr>
        <w:t>号</w:t>
      </w:r>
      <w:r w:rsidRPr="00A214B0">
        <w:rPr>
          <w:color w:val="000000" w:themeColor="text1"/>
        </w:rPr>
        <w:t>”</w:t>
      </w:r>
      <w:r w:rsidRPr="00A214B0">
        <w:rPr>
          <w:color w:val="000000" w:themeColor="text1"/>
        </w:rPr>
        <w:t>及</w:t>
      </w:r>
      <w:r w:rsidRPr="00A214B0">
        <w:rPr>
          <w:color w:val="000000" w:themeColor="text1"/>
        </w:rPr>
        <w:t>“</w:t>
      </w:r>
      <w:r w:rsidRPr="00A214B0">
        <w:rPr>
          <w:color w:val="000000" w:themeColor="text1"/>
        </w:rPr>
        <w:t>财税</w:t>
      </w:r>
      <w:r w:rsidRPr="00A214B0">
        <w:rPr>
          <w:color w:val="000000" w:themeColor="text1"/>
        </w:rPr>
        <w:t>[2016]36</w:t>
      </w:r>
      <w:r w:rsidRPr="00A214B0">
        <w:rPr>
          <w:color w:val="000000" w:themeColor="text1"/>
        </w:rPr>
        <w:t>号</w:t>
      </w:r>
      <w:r w:rsidRPr="00A214B0">
        <w:rPr>
          <w:color w:val="000000" w:themeColor="text1"/>
        </w:rPr>
        <w:t>”</w:t>
      </w:r>
      <w:r w:rsidRPr="00A214B0">
        <w:rPr>
          <w:color w:val="000000" w:themeColor="text1"/>
        </w:rPr>
        <w:t>文件及相关地方、行业计价依据调整文件规定，对于符合增值税抵扣条件的，重置全价扣除相应的增值税。</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可抵扣增值税</w:t>
      </w:r>
      <w:r w:rsidRPr="00A214B0">
        <w:rPr>
          <w:color w:val="000000" w:themeColor="text1"/>
        </w:rPr>
        <w:t>=</w:t>
      </w:r>
      <w:r w:rsidRPr="00A214B0">
        <w:rPr>
          <w:color w:val="000000" w:themeColor="text1"/>
        </w:rPr>
        <w:t>设备购置价</w:t>
      </w:r>
      <w:r w:rsidRPr="00A214B0">
        <w:rPr>
          <w:color w:val="000000" w:themeColor="text1"/>
        </w:rPr>
        <w:t>/1.1</w:t>
      </w:r>
      <w:r w:rsidRPr="00A214B0">
        <w:rPr>
          <w:rFonts w:hint="eastAsia"/>
          <w:color w:val="000000" w:themeColor="text1"/>
          <w:lang w:val="en-US"/>
        </w:rPr>
        <w:t>3</w:t>
      </w:r>
      <w:r w:rsidRPr="00A214B0">
        <w:rPr>
          <w:color w:val="000000" w:themeColor="text1"/>
        </w:rPr>
        <w:t>× 1</w:t>
      </w:r>
      <w:r w:rsidRPr="00A214B0">
        <w:rPr>
          <w:rFonts w:hint="eastAsia"/>
          <w:color w:val="000000" w:themeColor="text1"/>
          <w:lang w:val="en-US"/>
        </w:rPr>
        <w:t>3</w:t>
      </w:r>
      <w:r w:rsidRPr="00A214B0">
        <w:rPr>
          <w:color w:val="000000" w:themeColor="text1"/>
        </w:rPr>
        <w:t>%+</w:t>
      </w:r>
      <w:r w:rsidRPr="00A214B0">
        <w:rPr>
          <w:color w:val="000000" w:themeColor="text1"/>
        </w:rPr>
        <w:t>运杂费</w:t>
      </w:r>
      <w:r w:rsidRPr="00A214B0">
        <w:rPr>
          <w:color w:val="000000" w:themeColor="text1"/>
        </w:rPr>
        <w:t>/1.</w:t>
      </w:r>
      <w:r w:rsidRPr="00A214B0">
        <w:rPr>
          <w:color w:val="000000" w:themeColor="text1"/>
          <w:lang w:val="en-US"/>
        </w:rPr>
        <w:t>09</w:t>
      </w:r>
      <w:r w:rsidRPr="00A214B0">
        <w:rPr>
          <w:color w:val="000000" w:themeColor="text1"/>
        </w:rPr>
        <w:t xml:space="preserve">× </w:t>
      </w:r>
      <w:r w:rsidRPr="00A214B0">
        <w:rPr>
          <w:color w:val="000000" w:themeColor="text1"/>
          <w:lang w:val="en-US"/>
        </w:rPr>
        <w:t>9</w:t>
      </w:r>
      <w:r w:rsidRPr="00A214B0">
        <w:rPr>
          <w:color w:val="000000" w:themeColor="text1"/>
        </w:rPr>
        <w:t>%+</w:t>
      </w:r>
      <w:r w:rsidRPr="00A214B0">
        <w:rPr>
          <w:color w:val="000000" w:themeColor="text1"/>
        </w:rPr>
        <w:t>安装工程费</w:t>
      </w:r>
      <w:r w:rsidRPr="00A214B0">
        <w:rPr>
          <w:color w:val="000000" w:themeColor="text1"/>
        </w:rPr>
        <w:t>/1.</w:t>
      </w:r>
      <w:r w:rsidRPr="00A214B0">
        <w:rPr>
          <w:color w:val="000000" w:themeColor="text1"/>
          <w:lang w:val="en-US"/>
        </w:rPr>
        <w:t>09</w:t>
      </w:r>
      <w:r w:rsidRPr="00A214B0">
        <w:rPr>
          <w:color w:val="000000" w:themeColor="text1"/>
        </w:rPr>
        <w:t>×</w:t>
      </w:r>
      <w:r w:rsidRPr="00A214B0">
        <w:rPr>
          <w:color w:val="000000" w:themeColor="text1"/>
          <w:lang w:val="en-US"/>
        </w:rPr>
        <w:t>9</w:t>
      </w:r>
      <w:r w:rsidRPr="00A214B0">
        <w:rPr>
          <w:color w:val="000000" w:themeColor="text1"/>
        </w:rPr>
        <w:t>%+</w:t>
      </w:r>
      <w:r w:rsidRPr="00A214B0">
        <w:rPr>
          <w:color w:val="000000" w:themeColor="text1"/>
        </w:rPr>
        <w:t>前期及其他费用</w:t>
      </w:r>
      <w:r w:rsidRPr="00A214B0">
        <w:rPr>
          <w:color w:val="000000" w:themeColor="text1"/>
        </w:rPr>
        <w:t>(</w:t>
      </w:r>
      <w:r w:rsidRPr="00A214B0">
        <w:rPr>
          <w:color w:val="000000" w:themeColor="text1"/>
        </w:rPr>
        <w:t>不含建设单位管理费</w:t>
      </w:r>
      <w:r w:rsidRPr="00A214B0">
        <w:rPr>
          <w:color w:val="000000" w:themeColor="text1"/>
        </w:rPr>
        <w:t xml:space="preserve">)/1.06× 6% </w:t>
      </w:r>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rPr>
        <w:t>②</w:t>
      </w:r>
      <w:r w:rsidRPr="00A214B0">
        <w:rPr>
          <w:color w:val="000000" w:themeColor="text1"/>
        </w:rPr>
        <w:t>运输设备重置全价的确定</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对于运输设备，重置全价按照评估基准日的市场价格，加上车辆购置税、牌照费等其它合理费用确定其重置全价。</w:t>
      </w:r>
    </w:p>
    <w:p w:rsidR="00D56508" w:rsidRPr="00A214B0" w:rsidRDefault="00F1265B">
      <w:pPr>
        <w:pStyle w:val="a1"/>
        <w:adjustRightInd w:val="0"/>
        <w:snapToGrid w:val="0"/>
        <w:spacing w:line="360" w:lineRule="auto"/>
        <w:ind w:firstLineChars="150" w:firstLine="360"/>
        <w:rPr>
          <w:color w:val="000000" w:themeColor="text1"/>
          <w:szCs w:val="24"/>
        </w:rPr>
      </w:pPr>
      <w:r w:rsidRPr="00A214B0">
        <w:rPr>
          <w:color w:val="000000" w:themeColor="text1"/>
          <w:szCs w:val="24"/>
        </w:rPr>
        <w:t xml:space="preserve"> </w:t>
      </w:r>
      <w:r w:rsidRPr="00A214B0">
        <w:rPr>
          <w:color w:val="000000" w:themeColor="text1"/>
          <w:szCs w:val="24"/>
        </w:rPr>
        <w:t>运输设备重置全价计算公式如下：</w:t>
      </w:r>
      <w:r w:rsidRPr="00A214B0">
        <w:rPr>
          <w:color w:val="000000" w:themeColor="text1"/>
          <w:szCs w:val="24"/>
        </w:rPr>
        <w:t xml:space="preserve"> </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重置全价</w:t>
      </w:r>
      <w:r w:rsidRPr="00A214B0">
        <w:rPr>
          <w:color w:val="000000" w:themeColor="text1"/>
          <w:szCs w:val="24"/>
        </w:rPr>
        <w:t>=</w:t>
      </w:r>
      <w:r w:rsidRPr="00A214B0">
        <w:rPr>
          <w:color w:val="000000" w:themeColor="text1"/>
          <w:szCs w:val="24"/>
        </w:rPr>
        <w:t>购置价</w:t>
      </w:r>
      <w:r w:rsidRPr="00A214B0">
        <w:rPr>
          <w:color w:val="000000" w:themeColor="text1"/>
          <w:szCs w:val="24"/>
        </w:rPr>
        <w:t>+</w:t>
      </w:r>
      <w:r w:rsidRPr="00A214B0">
        <w:rPr>
          <w:color w:val="000000" w:themeColor="text1"/>
          <w:szCs w:val="24"/>
        </w:rPr>
        <w:t>车辆购置税</w:t>
      </w:r>
      <w:r w:rsidRPr="00A214B0">
        <w:rPr>
          <w:color w:val="000000" w:themeColor="text1"/>
          <w:szCs w:val="24"/>
        </w:rPr>
        <w:t>+</w:t>
      </w:r>
      <w:r w:rsidRPr="00A214B0">
        <w:rPr>
          <w:color w:val="000000" w:themeColor="text1"/>
          <w:szCs w:val="24"/>
        </w:rPr>
        <w:t>牌照费</w:t>
      </w:r>
      <w:r w:rsidRPr="00A214B0">
        <w:rPr>
          <w:color w:val="000000" w:themeColor="text1"/>
          <w:szCs w:val="24"/>
        </w:rPr>
        <w:t>-</w:t>
      </w:r>
      <w:r w:rsidRPr="00A214B0">
        <w:rPr>
          <w:color w:val="000000" w:themeColor="text1"/>
          <w:szCs w:val="24"/>
        </w:rPr>
        <w:t>购置价中可抵扣的增值税</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其中：</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现行购置价主要取自当地汽车市场现行报价或参考网上报价，参照车辆所在地同类车型最新交易的市场价格确定；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车辆购置税根据《中华人民共和国车辆购置税暂行条例》规定计取；</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车辆购置税</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车辆不含税售价</w:t>
      </w:r>
      <w:r w:rsidRPr="00A214B0">
        <w:rPr>
          <w:rFonts w:ascii="Times New Roman" w:hAnsi="Times New Roman" w:cs="Times New Roman"/>
          <w:color w:val="000000" w:themeColor="text1"/>
          <w:sz w:val="24"/>
          <w:szCs w:val="24"/>
        </w:rPr>
        <w:t>×10%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C.</w:t>
      </w:r>
      <w:r w:rsidRPr="00A214B0">
        <w:rPr>
          <w:rFonts w:ascii="Times New Roman" w:hAnsi="Times New Roman" w:cs="Times New Roman"/>
          <w:color w:val="000000" w:themeColor="text1"/>
          <w:sz w:val="24"/>
          <w:szCs w:val="24"/>
        </w:rPr>
        <w:t>牌照手续费等分别车辆所处区域按当地交通管理部门规定计取。</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eastAsia="宋体" w:hAnsi="Times New Roman" w:cs="Times New Roman"/>
          <w:color w:val="000000" w:themeColor="text1"/>
          <w:kern w:val="0"/>
          <w:sz w:val="24"/>
          <w:szCs w:val="24"/>
          <w:lang w:bidi="ar"/>
        </w:rPr>
        <w:t>对于购置时间较早目前市场上已淘汰，无相关型号车辆在售，但仍在正常使用的车辆，参照同类车辆的二手市场价格确定其评估值。</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③</w:t>
      </w:r>
      <w:r w:rsidRPr="00A214B0">
        <w:rPr>
          <w:rFonts w:ascii="Times New Roman" w:hAnsi="Times New Roman" w:cs="Times New Roman"/>
          <w:color w:val="000000" w:themeColor="text1"/>
          <w:sz w:val="24"/>
          <w:szCs w:val="24"/>
        </w:rPr>
        <w:t>电子设备重置全价的确定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对于电子设备，通常生产厂家或销售商提供免费运输及安装，因此，电子设备的重置全价根据评估基准日同型号设备的当地市场价格信息，扣除可抵扣的增值税额确定。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不含税购置价</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对购置时间较早或目前市场</w:t>
      </w:r>
      <w:r w:rsidRPr="00A214B0">
        <w:rPr>
          <w:rFonts w:ascii="Times New Roman" w:eastAsia="宋体" w:hAnsi="Times New Roman" w:cs="Times New Roman"/>
          <w:color w:val="000000" w:themeColor="text1"/>
          <w:kern w:val="0"/>
          <w:sz w:val="24"/>
          <w:szCs w:val="24"/>
          <w:lang w:bidi="ar"/>
        </w:rPr>
        <w:t>已淘汰，无相关型号设备在售，</w:t>
      </w:r>
      <w:r w:rsidRPr="00A214B0">
        <w:rPr>
          <w:rFonts w:ascii="Times New Roman" w:hAnsi="Times New Roman" w:cs="Times New Roman"/>
          <w:color w:val="000000" w:themeColor="text1"/>
          <w:sz w:val="24"/>
          <w:szCs w:val="24"/>
        </w:rPr>
        <w:t>但仍在正常使用的电子设备，参照同类设备的二手市场价格确定其评估值。</w:t>
      </w:r>
    </w:p>
    <w:p w:rsidR="00D56508" w:rsidRPr="00A214B0" w:rsidRDefault="00F1265B">
      <w:pPr>
        <w:pStyle w:val="a1"/>
        <w:tabs>
          <w:tab w:val="left" w:pos="1134"/>
        </w:tabs>
        <w:snapToGrid w:val="0"/>
        <w:spacing w:line="360" w:lineRule="auto"/>
        <w:ind w:firstLineChars="200" w:firstLine="480"/>
        <w:rPr>
          <w:color w:val="000000" w:themeColor="text1"/>
          <w:szCs w:val="24"/>
        </w:rPr>
      </w:pPr>
      <w:r w:rsidRPr="00A214B0">
        <w:rPr>
          <w:color w:val="000000" w:themeColor="text1"/>
          <w:szCs w:val="24"/>
        </w:rPr>
        <w:t>2</w:t>
      </w:r>
      <w:r w:rsidRPr="00A214B0">
        <w:rPr>
          <w:color w:val="000000" w:themeColor="text1"/>
          <w:szCs w:val="24"/>
        </w:rPr>
        <w:t>）成新率的确定</w:t>
      </w:r>
    </w:p>
    <w:p w:rsidR="00D56508" w:rsidRPr="00A214B0" w:rsidRDefault="00F1265B">
      <w:pPr>
        <w:pStyle w:val="a1"/>
        <w:tabs>
          <w:tab w:val="left" w:pos="1134"/>
        </w:tabs>
        <w:snapToGrid w:val="0"/>
        <w:spacing w:line="360" w:lineRule="auto"/>
        <w:ind w:firstLineChars="200" w:firstLine="480"/>
        <w:rPr>
          <w:color w:val="000000" w:themeColor="text1"/>
          <w:szCs w:val="24"/>
        </w:rPr>
      </w:pPr>
      <w:r w:rsidRPr="00A214B0">
        <w:rPr>
          <w:color w:val="000000" w:themeColor="text1"/>
          <w:szCs w:val="24"/>
        </w:rPr>
        <w:t>①</w:t>
      </w:r>
      <w:r w:rsidRPr="00A214B0">
        <w:rPr>
          <w:color w:val="000000" w:themeColor="text1"/>
          <w:szCs w:val="24"/>
        </w:rPr>
        <w:t>机器设备成新率的确定</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对于专用设备和通用机器设备，通过现场勘察设备现状、查阅有关设备运行，修理及设备管理档案资料，以及向工程技术人员、操作人员了解设备技术状况、实际负荷情况、故障情况、大修理情况、技术改造情况、维修保养情况等，在对设备各组成部分进行勘察的基础上，同时考虑设备的经济使用寿命和已使用年限等因素，综合确定设备的尚可使用年限，然后按以下公式确定成新率。</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成新率＝尚可使用年限／（已使用年限</w:t>
      </w:r>
      <w:r w:rsidRPr="00A214B0">
        <w:rPr>
          <w:color w:val="000000" w:themeColor="text1"/>
          <w:szCs w:val="24"/>
        </w:rPr>
        <w:t>+</w:t>
      </w:r>
      <w:r w:rsidRPr="00A214B0">
        <w:rPr>
          <w:color w:val="000000" w:themeColor="text1"/>
          <w:szCs w:val="24"/>
        </w:rPr>
        <w:t>尚可使用年限）</w:t>
      </w:r>
      <w:r w:rsidRPr="00A214B0">
        <w:rPr>
          <w:color w:val="000000" w:themeColor="text1"/>
          <w:szCs w:val="24"/>
        </w:rPr>
        <w:t>×100%</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对于购置年限</w:t>
      </w:r>
      <w:r w:rsidRPr="00A214B0">
        <w:rPr>
          <w:color w:val="000000" w:themeColor="text1"/>
          <w:szCs w:val="24"/>
          <w:lang w:val="en-US"/>
        </w:rPr>
        <w:t>较长，成新率计算结果小于</w:t>
      </w:r>
      <w:r w:rsidRPr="00A214B0">
        <w:rPr>
          <w:color w:val="000000" w:themeColor="text1"/>
          <w:szCs w:val="24"/>
          <w:lang w:val="en-US"/>
        </w:rPr>
        <w:t>15%</w:t>
      </w:r>
      <w:r w:rsidRPr="00A214B0">
        <w:rPr>
          <w:color w:val="000000" w:themeColor="text1"/>
          <w:szCs w:val="24"/>
          <w:lang w:val="en-US"/>
        </w:rPr>
        <w:t>但仍在正常使用的设备</w:t>
      </w:r>
      <w:r w:rsidRPr="00A214B0">
        <w:rPr>
          <w:color w:val="000000" w:themeColor="text1"/>
          <w:szCs w:val="24"/>
        </w:rPr>
        <w:t>，考虑</w:t>
      </w:r>
      <w:r w:rsidRPr="00A214B0">
        <w:rPr>
          <w:color w:val="000000" w:themeColor="text1"/>
          <w:szCs w:val="24"/>
          <w:lang w:val="en-US"/>
        </w:rPr>
        <w:t>其仍能满足企业生产需要，</w:t>
      </w:r>
      <w:r w:rsidRPr="00A214B0">
        <w:rPr>
          <w:color w:val="000000" w:themeColor="text1"/>
          <w:szCs w:val="24"/>
        </w:rPr>
        <w:t>成新率</w:t>
      </w:r>
      <w:r w:rsidRPr="00A214B0">
        <w:rPr>
          <w:color w:val="000000" w:themeColor="text1"/>
          <w:szCs w:val="24"/>
          <w:lang w:val="en-US"/>
        </w:rPr>
        <w:t>取</w:t>
      </w:r>
      <w:r w:rsidRPr="00A214B0">
        <w:rPr>
          <w:color w:val="000000" w:themeColor="text1"/>
          <w:szCs w:val="24"/>
        </w:rPr>
        <w:t>15%</w:t>
      </w:r>
      <w:r w:rsidRPr="00A214B0">
        <w:rPr>
          <w:color w:val="000000" w:themeColor="text1"/>
          <w:szCs w:val="24"/>
        </w:rPr>
        <w:t>。</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②</w:t>
      </w:r>
      <w:r w:rsidRPr="00A214B0">
        <w:rPr>
          <w:color w:val="000000" w:themeColor="text1"/>
          <w:szCs w:val="24"/>
        </w:rPr>
        <w:t>运输车辆成新率的确定</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lang w:val="en-US"/>
        </w:rPr>
        <w:t>车辆的成新率以</w:t>
      </w:r>
      <w:r w:rsidRPr="00A214B0">
        <w:rPr>
          <w:color w:val="000000" w:themeColor="text1"/>
          <w:szCs w:val="24"/>
        </w:rPr>
        <w:t>车辆</w:t>
      </w:r>
      <w:r w:rsidRPr="00A214B0">
        <w:rPr>
          <w:color w:val="000000" w:themeColor="text1"/>
          <w:szCs w:val="24"/>
          <w:lang w:val="en-US"/>
        </w:rPr>
        <w:t>使用年限成新率和行驶里程成新率的较低者确定理论成新率，</w:t>
      </w:r>
      <w:r w:rsidRPr="00A214B0">
        <w:rPr>
          <w:color w:val="000000" w:themeColor="text1"/>
          <w:szCs w:val="24"/>
        </w:rPr>
        <w:t>然后结合现场勘查情况进行调整。计算公式如下：</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lang w:val="en-US"/>
        </w:rPr>
        <w:t>使用年限成新率</w:t>
      </w:r>
      <w:r w:rsidRPr="00A214B0">
        <w:rPr>
          <w:color w:val="000000" w:themeColor="text1"/>
          <w:szCs w:val="24"/>
          <w:lang w:val="en-US"/>
        </w:rPr>
        <w:t>=</w:t>
      </w:r>
      <w:r w:rsidRPr="00A214B0">
        <w:rPr>
          <w:color w:val="000000" w:themeColor="text1"/>
          <w:szCs w:val="24"/>
          <w:lang w:val="en-US"/>
        </w:rPr>
        <w:t>（强制报废年限</w:t>
      </w:r>
      <w:r w:rsidRPr="00A214B0">
        <w:rPr>
          <w:color w:val="000000" w:themeColor="text1"/>
          <w:szCs w:val="24"/>
          <w:lang w:val="en-US"/>
        </w:rPr>
        <w:t>-</w:t>
      </w:r>
      <w:r w:rsidRPr="00A214B0">
        <w:rPr>
          <w:color w:val="000000" w:themeColor="text1"/>
          <w:szCs w:val="24"/>
          <w:lang w:val="en-US"/>
        </w:rPr>
        <w:t>已使用年限）</w:t>
      </w:r>
      <w:r w:rsidRPr="00A214B0">
        <w:rPr>
          <w:color w:val="000000" w:themeColor="text1"/>
          <w:szCs w:val="24"/>
        </w:rPr>
        <w:t>／</w:t>
      </w:r>
      <w:r w:rsidRPr="00A214B0">
        <w:rPr>
          <w:color w:val="000000" w:themeColor="text1"/>
          <w:szCs w:val="24"/>
          <w:lang w:val="en-US"/>
        </w:rPr>
        <w:t>强制报废年限</w:t>
      </w:r>
      <w:r w:rsidRPr="00A214B0">
        <w:rPr>
          <w:color w:val="000000" w:themeColor="text1"/>
          <w:szCs w:val="24"/>
        </w:rPr>
        <w:t>× 100%</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lang w:val="en-US"/>
        </w:rPr>
        <w:t>行驶里程成新率</w:t>
      </w:r>
      <w:r w:rsidRPr="00A214B0">
        <w:rPr>
          <w:color w:val="000000" w:themeColor="text1"/>
          <w:szCs w:val="24"/>
          <w:lang w:val="en-US"/>
        </w:rPr>
        <w:t>=</w:t>
      </w:r>
      <w:r w:rsidRPr="00A214B0">
        <w:rPr>
          <w:color w:val="000000" w:themeColor="text1"/>
          <w:szCs w:val="24"/>
        </w:rPr>
        <w:t>（规定行驶里程－已行驶里程）／规定行驶里程</w:t>
      </w:r>
      <w:r w:rsidRPr="00A214B0">
        <w:rPr>
          <w:color w:val="000000" w:themeColor="text1"/>
          <w:szCs w:val="24"/>
        </w:rPr>
        <w:t xml:space="preserve"> × 100%</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综合成新率</w:t>
      </w:r>
      <w:r w:rsidRPr="00A214B0">
        <w:rPr>
          <w:color w:val="000000" w:themeColor="text1"/>
          <w:szCs w:val="24"/>
        </w:rPr>
        <w:t>=</w:t>
      </w:r>
      <w:r w:rsidRPr="00A214B0">
        <w:rPr>
          <w:color w:val="000000" w:themeColor="text1"/>
          <w:szCs w:val="24"/>
          <w:lang w:val="en-US"/>
        </w:rPr>
        <w:t>MIN</w:t>
      </w:r>
      <w:r w:rsidRPr="00A214B0">
        <w:rPr>
          <w:color w:val="000000" w:themeColor="text1"/>
          <w:szCs w:val="24"/>
          <w:lang w:val="en-US"/>
        </w:rPr>
        <w:t>（使用年限成新率，行驶里程成新率）</w:t>
      </w:r>
      <w:r w:rsidRPr="00A214B0">
        <w:rPr>
          <w:color w:val="000000" w:themeColor="text1"/>
          <w:szCs w:val="24"/>
          <w:lang w:val="en-US"/>
        </w:rPr>
        <w:t>+</w:t>
      </w:r>
      <w:r w:rsidRPr="00A214B0">
        <w:rPr>
          <w:color w:val="000000" w:themeColor="text1"/>
          <w:szCs w:val="24"/>
          <w:lang w:val="en-US"/>
        </w:rPr>
        <w:t>勘察调整值</w:t>
      </w:r>
    </w:p>
    <w:p w:rsidR="00D56508" w:rsidRPr="00A214B0" w:rsidRDefault="00F1265B">
      <w:pPr>
        <w:pStyle w:val="a1"/>
        <w:tabs>
          <w:tab w:val="left" w:pos="1134"/>
        </w:tabs>
        <w:snapToGrid w:val="0"/>
        <w:spacing w:line="360" w:lineRule="auto"/>
        <w:rPr>
          <w:color w:val="000000" w:themeColor="text1"/>
          <w:szCs w:val="24"/>
          <w:lang w:val="en-US"/>
        </w:rPr>
      </w:pPr>
      <w:r w:rsidRPr="00A214B0">
        <w:rPr>
          <w:color w:val="000000" w:themeColor="text1"/>
          <w:szCs w:val="24"/>
          <w:lang w:val="en-US"/>
        </w:rPr>
        <w:t>其中，强制报废年限及规定行驶里程参考</w:t>
      </w:r>
      <w:r w:rsidRPr="00A214B0">
        <w:rPr>
          <w:color w:val="000000" w:themeColor="text1"/>
          <w:szCs w:val="24"/>
        </w:rPr>
        <w:t>国家颁布的车辆强制报废标准</w:t>
      </w:r>
      <w:r w:rsidRPr="00A214B0">
        <w:rPr>
          <w:color w:val="000000" w:themeColor="text1"/>
          <w:szCs w:val="24"/>
          <w:lang w:val="en-US"/>
        </w:rPr>
        <w:t>确定</w:t>
      </w:r>
      <w:r w:rsidRPr="00A214B0">
        <w:rPr>
          <w:color w:val="000000" w:themeColor="text1"/>
          <w:szCs w:val="24"/>
        </w:rPr>
        <w:t>，</w:t>
      </w:r>
      <w:r w:rsidRPr="00A214B0">
        <w:rPr>
          <w:color w:val="000000" w:themeColor="text1"/>
          <w:szCs w:val="24"/>
          <w:lang w:val="en-US"/>
        </w:rPr>
        <w:t>对于</w:t>
      </w:r>
      <w:r w:rsidRPr="00A214B0">
        <w:rPr>
          <w:color w:val="000000" w:themeColor="text1"/>
          <w:szCs w:val="24"/>
        </w:rPr>
        <w:t>《机动车强制报废标准规定》</w:t>
      </w:r>
      <w:r w:rsidRPr="00A214B0">
        <w:rPr>
          <w:color w:val="000000" w:themeColor="text1"/>
          <w:szCs w:val="24"/>
          <w:lang w:val="en-US"/>
        </w:rPr>
        <w:t>中未明确强制报废年限的车辆，则不再考虑使用年限成新率，直接以行驶里程成新率作为理论成新率。</w:t>
      </w:r>
    </w:p>
    <w:p w:rsidR="00D56508" w:rsidRPr="00A214B0" w:rsidRDefault="00F1265B">
      <w:pPr>
        <w:pStyle w:val="a1"/>
        <w:tabs>
          <w:tab w:val="left" w:pos="1134"/>
        </w:tabs>
        <w:snapToGrid w:val="0"/>
        <w:spacing w:line="360" w:lineRule="auto"/>
        <w:rPr>
          <w:color w:val="000000" w:themeColor="text1"/>
          <w:szCs w:val="24"/>
          <w:lang w:val="en-US"/>
        </w:rPr>
      </w:pPr>
      <w:r w:rsidRPr="00A214B0">
        <w:rPr>
          <w:color w:val="000000" w:themeColor="text1"/>
          <w:szCs w:val="24"/>
        </w:rPr>
        <w:t>对于购置年限</w:t>
      </w:r>
      <w:r w:rsidRPr="00A214B0">
        <w:rPr>
          <w:color w:val="000000" w:themeColor="text1"/>
          <w:szCs w:val="24"/>
          <w:lang w:val="en-US"/>
        </w:rPr>
        <w:t>较长，综合成新率计算结果小于</w:t>
      </w:r>
      <w:r w:rsidRPr="00A214B0">
        <w:rPr>
          <w:color w:val="000000" w:themeColor="text1"/>
          <w:szCs w:val="24"/>
          <w:lang w:val="en-US"/>
        </w:rPr>
        <w:t>15%</w:t>
      </w:r>
      <w:r w:rsidRPr="00A214B0">
        <w:rPr>
          <w:color w:val="000000" w:themeColor="text1"/>
          <w:szCs w:val="24"/>
          <w:lang w:val="en-US"/>
        </w:rPr>
        <w:t>但仍在正常使用的车辆</w:t>
      </w:r>
      <w:r w:rsidRPr="00A214B0">
        <w:rPr>
          <w:color w:val="000000" w:themeColor="text1"/>
          <w:szCs w:val="24"/>
        </w:rPr>
        <w:t>，考虑</w:t>
      </w:r>
      <w:r w:rsidRPr="00A214B0">
        <w:rPr>
          <w:color w:val="000000" w:themeColor="text1"/>
          <w:szCs w:val="24"/>
          <w:lang w:val="en-US"/>
        </w:rPr>
        <w:t>其仍能满足企业使用需要，</w:t>
      </w:r>
      <w:r w:rsidRPr="00A214B0">
        <w:rPr>
          <w:color w:val="000000" w:themeColor="text1"/>
          <w:szCs w:val="24"/>
        </w:rPr>
        <w:t>成新率</w:t>
      </w:r>
      <w:r w:rsidRPr="00A214B0">
        <w:rPr>
          <w:color w:val="000000" w:themeColor="text1"/>
          <w:szCs w:val="24"/>
          <w:lang w:val="en-US"/>
        </w:rPr>
        <w:t>取</w:t>
      </w:r>
      <w:r w:rsidRPr="00A214B0">
        <w:rPr>
          <w:color w:val="000000" w:themeColor="text1"/>
          <w:szCs w:val="24"/>
        </w:rPr>
        <w:t>15%</w:t>
      </w:r>
      <w:r w:rsidRPr="00A214B0">
        <w:rPr>
          <w:color w:val="000000" w:themeColor="text1"/>
          <w:szCs w:val="24"/>
        </w:rPr>
        <w:t>。</w:t>
      </w:r>
      <w:r w:rsidRPr="00A214B0">
        <w:rPr>
          <w:color w:val="000000" w:themeColor="text1"/>
          <w:szCs w:val="24"/>
          <w:lang w:val="en-US"/>
        </w:rPr>
        <w:t>对于参考二手市场价格确定评估值的车辆不再考虑成新率。</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③</w:t>
      </w:r>
      <w:r w:rsidRPr="00A214B0">
        <w:rPr>
          <w:color w:val="000000" w:themeColor="text1"/>
          <w:szCs w:val="24"/>
        </w:rPr>
        <w:t>电子设备成新率的确定</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对于电子设备、空调设备等小型设备，主要依据其经济寿命年限</w:t>
      </w:r>
      <w:r w:rsidRPr="00A214B0">
        <w:rPr>
          <w:color w:val="000000" w:themeColor="text1"/>
          <w:szCs w:val="24"/>
          <w:lang w:val="en-US"/>
        </w:rPr>
        <w:t>及已使用年限</w:t>
      </w:r>
      <w:r w:rsidRPr="00A214B0">
        <w:rPr>
          <w:color w:val="000000" w:themeColor="text1"/>
          <w:szCs w:val="24"/>
        </w:rPr>
        <w:t>来确定其成新率。计算公式如下：</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成新率</w:t>
      </w:r>
      <w:r w:rsidRPr="00A214B0">
        <w:rPr>
          <w:color w:val="000000" w:themeColor="text1"/>
          <w:szCs w:val="24"/>
        </w:rPr>
        <w:t>=</w:t>
      </w:r>
      <w:r w:rsidRPr="00A214B0">
        <w:rPr>
          <w:color w:val="000000" w:themeColor="text1"/>
          <w:szCs w:val="24"/>
        </w:rPr>
        <w:t>（经济寿命年限－已使用年限）／经济寿命年限</w:t>
      </w:r>
      <w:r w:rsidRPr="00A214B0">
        <w:rPr>
          <w:color w:val="000000" w:themeColor="text1"/>
          <w:szCs w:val="24"/>
        </w:rPr>
        <w:t>× 100%</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对于购置年限</w:t>
      </w:r>
      <w:r w:rsidRPr="00A214B0">
        <w:rPr>
          <w:color w:val="000000" w:themeColor="text1"/>
          <w:szCs w:val="24"/>
          <w:lang w:val="en-US"/>
        </w:rPr>
        <w:t>较长，成新率计算结果小于</w:t>
      </w:r>
      <w:r w:rsidRPr="00A214B0">
        <w:rPr>
          <w:color w:val="000000" w:themeColor="text1"/>
          <w:szCs w:val="24"/>
          <w:lang w:val="en-US"/>
        </w:rPr>
        <w:t>15%</w:t>
      </w:r>
      <w:r w:rsidRPr="00A214B0">
        <w:rPr>
          <w:color w:val="000000" w:themeColor="text1"/>
          <w:szCs w:val="24"/>
          <w:lang w:val="en-US"/>
        </w:rPr>
        <w:t>但仍在正常使用的电子设备</w:t>
      </w:r>
      <w:r w:rsidRPr="00A214B0">
        <w:rPr>
          <w:color w:val="000000" w:themeColor="text1"/>
          <w:szCs w:val="24"/>
        </w:rPr>
        <w:t>，考虑</w:t>
      </w:r>
      <w:r w:rsidRPr="00A214B0">
        <w:rPr>
          <w:color w:val="000000" w:themeColor="text1"/>
          <w:szCs w:val="24"/>
          <w:lang w:val="en-US"/>
        </w:rPr>
        <w:t>其仍能满足企业使用需要，</w:t>
      </w:r>
      <w:r w:rsidRPr="00A214B0">
        <w:rPr>
          <w:color w:val="000000" w:themeColor="text1"/>
          <w:szCs w:val="24"/>
        </w:rPr>
        <w:t>成新率</w:t>
      </w:r>
      <w:r w:rsidRPr="00A214B0">
        <w:rPr>
          <w:color w:val="000000" w:themeColor="text1"/>
          <w:szCs w:val="24"/>
          <w:lang w:val="en-US"/>
        </w:rPr>
        <w:t>取</w:t>
      </w:r>
      <w:r w:rsidRPr="00A214B0">
        <w:rPr>
          <w:color w:val="000000" w:themeColor="text1"/>
          <w:szCs w:val="24"/>
        </w:rPr>
        <w:t>15%</w:t>
      </w:r>
      <w:r w:rsidRPr="00A214B0">
        <w:rPr>
          <w:color w:val="000000" w:themeColor="text1"/>
          <w:szCs w:val="24"/>
        </w:rPr>
        <w:t>。</w:t>
      </w:r>
      <w:r w:rsidRPr="00A214B0">
        <w:rPr>
          <w:color w:val="000000" w:themeColor="text1"/>
          <w:szCs w:val="24"/>
          <w:lang w:val="en-US"/>
        </w:rPr>
        <w:t>对于</w:t>
      </w:r>
      <w:r w:rsidRPr="00A214B0">
        <w:rPr>
          <w:color w:val="000000" w:themeColor="text1"/>
          <w:szCs w:val="24"/>
        </w:rPr>
        <w:t>直接按二手市场价评估的电子设备，不再考虑成新率。</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3</w:t>
      </w:r>
      <w:r w:rsidRPr="00A214B0">
        <w:rPr>
          <w:color w:val="000000" w:themeColor="text1"/>
          <w:szCs w:val="24"/>
        </w:rPr>
        <w:t>）评估值的确定</w:t>
      </w:r>
    </w:p>
    <w:p w:rsidR="00D56508" w:rsidRPr="00A214B0" w:rsidRDefault="00F1265B">
      <w:pPr>
        <w:pStyle w:val="a1"/>
        <w:tabs>
          <w:tab w:val="left" w:pos="1134"/>
        </w:tabs>
        <w:snapToGrid w:val="0"/>
        <w:spacing w:line="360" w:lineRule="auto"/>
        <w:rPr>
          <w:color w:val="000000" w:themeColor="text1"/>
          <w:szCs w:val="24"/>
        </w:rPr>
      </w:pPr>
      <w:r w:rsidRPr="00A214B0">
        <w:rPr>
          <w:color w:val="000000" w:themeColor="text1"/>
          <w:szCs w:val="24"/>
        </w:rPr>
        <w:t>设备评估值</w:t>
      </w:r>
      <w:r w:rsidRPr="00A214B0">
        <w:rPr>
          <w:color w:val="000000" w:themeColor="text1"/>
          <w:szCs w:val="24"/>
        </w:rPr>
        <w:t>=</w:t>
      </w:r>
      <w:r w:rsidRPr="00A214B0">
        <w:rPr>
          <w:color w:val="000000" w:themeColor="text1"/>
          <w:szCs w:val="24"/>
        </w:rPr>
        <w:t>设备重置全价</w:t>
      </w:r>
      <w:r w:rsidRPr="00A214B0">
        <w:rPr>
          <w:color w:val="000000" w:themeColor="text1"/>
          <w:szCs w:val="24"/>
        </w:rPr>
        <w:t>×</w:t>
      </w:r>
      <w:r w:rsidRPr="00A214B0">
        <w:rPr>
          <w:color w:val="000000" w:themeColor="text1"/>
          <w:szCs w:val="24"/>
        </w:rPr>
        <w:t>成新率</w:t>
      </w:r>
    </w:p>
    <w:p w:rsidR="00D56508" w:rsidRPr="00A214B0" w:rsidRDefault="00F1265B">
      <w:pPr>
        <w:pStyle w:val="a1"/>
        <w:tabs>
          <w:tab w:val="left" w:pos="1134"/>
        </w:tabs>
        <w:snapToGrid w:val="0"/>
        <w:spacing w:line="360" w:lineRule="auto"/>
        <w:outlineLvl w:val="2"/>
        <w:rPr>
          <w:color w:val="000000" w:themeColor="text1"/>
          <w:szCs w:val="24"/>
        </w:rPr>
      </w:pPr>
      <w:r w:rsidRPr="00A214B0">
        <w:rPr>
          <w:color w:val="000000" w:themeColor="text1"/>
          <w:szCs w:val="24"/>
          <w:lang w:val="en-US"/>
        </w:rPr>
        <w:t>4</w:t>
      </w:r>
      <w:r w:rsidRPr="00A214B0">
        <w:rPr>
          <w:color w:val="000000" w:themeColor="text1"/>
          <w:szCs w:val="24"/>
        </w:rPr>
        <w:t>.</w:t>
      </w:r>
      <w:r w:rsidRPr="00A214B0">
        <w:rPr>
          <w:color w:val="000000" w:themeColor="text1"/>
          <w:szCs w:val="24"/>
        </w:rPr>
        <w:t>评估结论</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设备类资产的评估结果详见下表：</w:t>
      </w:r>
    </w:p>
    <w:p w:rsidR="00D56508" w:rsidRPr="00A214B0" w:rsidRDefault="00F1265B">
      <w:pPr>
        <w:tabs>
          <w:tab w:val="left" w:pos="1134"/>
        </w:tabs>
        <w:autoSpaceDE w:val="0"/>
        <w:autoSpaceDN w:val="0"/>
        <w:adjustRightInd w:val="0"/>
        <w:snapToGrid w:val="0"/>
        <w:spacing w:before="60" w:after="60" w:line="360" w:lineRule="auto"/>
        <w:ind w:firstLineChars="200" w:firstLine="422"/>
        <w:jc w:val="center"/>
        <w:textAlignment w:val="baseline"/>
        <w:rPr>
          <w:rFonts w:ascii="Times New Roman" w:hAnsi="Times New Roman" w:cs="Times New Roman"/>
          <w:b/>
          <w:color w:val="000000" w:themeColor="text1"/>
          <w:kern w:val="0"/>
          <w:szCs w:val="21"/>
        </w:rPr>
      </w:pPr>
      <w:r w:rsidRPr="00A214B0">
        <w:rPr>
          <w:rFonts w:ascii="Times New Roman" w:hAnsi="Times New Roman" w:cs="Times New Roman"/>
          <w:b/>
          <w:color w:val="000000" w:themeColor="text1"/>
          <w:kern w:val="0"/>
          <w:szCs w:val="21"/>
        </w:rPr>
        <w:t>设备类资产评估结果分类汇总表</w:t>
      </w:r>
    </w:p>
    <w:p w:rsidR="00D56508" w:rsidRPr="00A214B0" w:rsidRDefault="00F1265B">
      <w:pPr>
        <w:tabs>
          <w:tab w:val="left" w:pos="1134"/>
        </w:tabs>
        <w:autoSpaceDE w:val="0"/>
        <w:autoSpaceDN w:val="0"/>
        <w:adjustRightInd w:val="0"/>
        <w:snapToGrid w:val="0"/>
        <w:spacing w:before="60" w:after="60" w:line="360" w:lineRule="auto"/>
        <w:ind w:firstLineChars="200" w:firstLine="360"/>
        <w:jc w:val="right"/>
        <w:textAlignment w:val="baseline"/>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金额单位：人民币元</w:t>
      </w:r>
    </w:p>
    <w:tbl>
      <w:tblPr>
        <w:tblW w:w="90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51"/>
        <w:gridCol w:w="1910"/>
        <w:gridCol w:w="1935"/>
        <w:gridCol w:w="1929"/>
        <w:gridCol w:w="1924"/>
      </w:tblGrid>
      <w:tr w:rsidR="00D56508" w:rsidRPr="00A214B0">
        <w:trPr>
          <w:trHeight w:hRule="exact" w:val="422"/>
          <w:jc w:val="center"/>
        </w:trPr>
        <w:tc>
          <w:tcPr>
            <w:tcW w:w="1351" w:type="dxa"/>
            <w:vAlign w:val="center"/>
          </w:tcPr>
          <w:p w:rsidR="00D56508" w:rsidRPr="00A214B0" w:rsidRDefault="00F1265B">
            <w:pPr>
              <w:widowControl/>
              <w:autoSpaceDE w:val="0"/>
              <w:autoSpaceDN w:val="0"/>
              <w:adjustRightInd w:val="0"/>
              <w:snapToGrid w:val="0"/>
              <w:spacing w:line="320" w:lineRule="exact"/>
              <w:jc w:val="center"/>
              <w:textAlignment w:val="baseline"/>
              <w:rPr>
                <w:rFonts w:ascii="Times New Roman" w:hAnsi="Times New Roman" w:cs="Times New Roman"/>
                <w:b/>
                <w:bCs/>
                <w:color w:val="000000" w:themeColor="text1"/>
                <w:kern w:val="0"/>
                <w:sz w:val="18"/>
                <w:szCs w:val="18"/>
              </w:rPr>
            </w:pPr>
            <w:r w:rsidRPr="00A214B0">
              <w:rPr>
                <w:rFonts w:ascii="Times New Roman" w:hAnsi="Times New Roman" w:cs="Times New Roman" w:hint="eastAsia"/>
                <w:b/>
                <w:bCs/>
                <w:color w:val="000000" w:themeColor="text1"/>
                <w:kern w:val="0"/>
                <w:sz w:val="18"/>
                <w:szCs w:val="18"/>
              </w:rPr>
              <w:t>项目名称</w:t>
            </w:r>
          </w:p>
        </w:tc>
        <w:tc>
          <w:tcPr>
            <w:tcW w:w="1910" w:type="dxa"/>
            <w:vAlign w:val="center"/>
          </w:tcPr>
          <w:p w:rsidR="00D56508" w:rsidRPr="00A214B0" w:rsidRDefault="00F1265B">
            <w:pPr>
              <w:widowControl/>
              <w:jc w:val="center"/>
              <w:textAlignment w:val="center"/>
              <w:rPr>
                <w:rFonts w:ascii="Times New Roman" w:hAnsi="Times New Roman" w:cs="Times New Roman"/>
                <w:b/>
                <w:bCs/>
                <w:color w:val="000000" w:themeColor="text1"/>
                <w:kern w:val="0"/>
                <w:sz w:val="18"/>
                <w:szCs w:val="18"/>
                <w:lang w:bidi="ar"/>
              </w:rPr>
            </w:pPr>
            <w:r w:rsidRPr="00A214B0">
              <w:rPr>
                <w:rFonts w:ascii="Times New Roman" w:eastAsia="宋体" w:hAnsi="Times New Roman" w:cs="Times New Roman" w:hint="eastAsia"/>
                <w:b/>
                <w:bCs/>
                <w:color w:val="000000" w:themeColor="text1"/>
                <w:kern w:val="0"/>
                <w:sz w:val="18"/>
                <w:szCs w:val="18"/>
                <w:lang w:bidi="ar"/>
              </w:rPr>
              <w:t>账面价值</w:t>
            </w:r>
          </w:p>
        </w:tc>
        <w:tc>
          <w:tcPr>
            <w:tcW w:w="1935" w:type="dxa"/>
            <w:vAlign w:val="center"/>
          </w:tcPr>
          <w:p w:rsidR="00D56508" w:rsidRPr="00A214B0" w:rsidRDefault="00F1265B">
            <w:pPr>
              <w:widowControl/>
              <w:jc w:val="center"/>
              <w:textAlignment w:val="center"/>
              <w:rPr>
                <w:rFonts w:ascii="Times New Roman" w:hAnsi="Times New Roman" w:cs="Times New Roman"/>
                <w:b/>
                <w:bCs/>
                <w:color w:val="000000" w:themeColor="text1"/>
                <w:kern w:val="0"/>
                <w:sz w:val="18"/>
                <w:szCs w:val="18"/>
                <w:lang w:bidi="ar"/>
              </w:rPr>
            </w:pPr>
            <w:r w:rsidRPr="00A214B0">
              <w:rPr>
                <w:rFonts w:ascii="Times New Roman" w:eastAsia="宋体" w:hAnsi="Times New Roman" w:cs="Times New Roman" w:hint="eastAsia"/>
                <w:b/>
                <w:bCs/>
                <w:color w:val="000000" w:themeColor="text1"/>
                <w:kern w:val="0"/>
                <w:sz w:val="18"/>
                <w:szCs w:val="18"/>
                <w:lang w:bidi="ar"/>
              </w:rPr>
              <w:t>评估价值</w:t>
            </w:r>
          </w:p>
        </w:tc>
        <w:tc>
          <w:tcPr>
            <w:tcW w:w="1929" w:type="dxa"/>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18"/>
                <w:szCs w:val="18"/>
                <w:lang w:bidi="ar"/>
              </w:rPr>
            </w:pPr>
            <w:r w:rsidRPr="00A214B0">
              <w:rPr>
                <w:rFonts w:ascii="Times New Roman" w:eastAsia="宋体" w:hAnsi="Times New Roman" w:cs="Times New Roman" w:hint="eastAsia"/>
                <w:b/>
                <w:bCs/>
                <w:color w:val="000000" w:themeColor="text1"/>
                <w:kern w:val="0"/>
                <w:sz w:val="18"/>
                <w:szCs w:val="18"/>
                <w:lang w:bidi="ar"/>
              </w:rPr>
              <w:t>增值额</w:t>
            </w:r>
          </w:p>
        </w:tc>
        <w:tc>
          <w:tcPr>
            <w:tcW w:w="1924" w:type="dxa"/>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18"/>
                <w:szCs w:val="18"/>
                <w:lang w:bidi="ar"/>
              </w:rPr>
            </w:pPr>
            <w:r w:rsidRPr="00A214B0">
              <w:rPr>
                <w:rFonts w:ascii="Times New Roman" w:eastAsia="宋体" w:hAnsi="Times New Roman" w:cs="Times New Roman" w:hint="eastAsia"/>
                <w:b/>
                <w:bCs/>
                <w:color w:val="000000" w:themeColor="text1"/>
                <w:kern w:val="0"/>
                <w:sz w:val="18"/>
                <w:szCs w:val="18"/>
                <w:lang w:bidi="ar"/>
              </w:rPr>
              <w:t>增值率</w:t>
            </w:r>
            <w:r w:rsidRPr="00A214B0">
              <w:rPr>
                <w:rFonts w:ascii="Times New Roman" w:eastAsia="宋体" w:hAnsi="Times New Roman" w:cs="Times New Roman" w:hint="eastAsia"/>
                <w:b/>
                <w:bCs/>
                <w:color w:val="000000" w:themeColor="text1"/>
                <w:kern w:val="0"/>
                <w:sz w:val="18"/>
                <w:szCs w:val="18"/>
                <w:lang w:bidi="ar"/>
              </w:rPr>
              <w:t>%</w:t>
            </w:r>
          </w:p>
        </w:tc>
      </w:tr>
      <w:tr w:rsidR="00D56508" w:rsidRPr="00A214B0">
        <w:trPr>
          <w:trHeight w:hRule="exact" w:val="421"/>
          <w:jc w:val="center"/>
        </w:trPr>
        <w:tc>
          <w:tcPr>
            <w:tcW w:w="1351" w:type="dxa"/>
            <w:vAlign w:val="center"/>
          </w:tcPr>
          <w:p w:rsidR="00D56508" w:rsidRPr="00A214B0" w:rsidRDefault="00F1265B">
            <w:pPr>
              <w:widowControl/>
              <w:autoSpaceDE w:val="0"/>
              <w:autoSpaceDN w:val="0"/>
              <w:adjustRightInd w:val="0"/>
              <w:snapToGrid w:val="0"/>
              <w:spacing w:line="320" w:lineRule="exact"/>
              <w:jc w:val="center"/>
              <w:textAlignment w:val="baseline"/>
              <w:rPr>
                <w:rFonts w:ascii="Times New Roman" w:hAnsi="Times New Roman" w:cs="Times New Roman"/>
                <w:color w:val="000000" w:themeColor="text1"/>
                <w:kern w:val="0"/>
                <w:sz w:val="18"/>
                <w:szCs w:val="18"/>
              </w:rPr>
            </w:pPr>
            <w:r w:rsidRPr="00A214B0">
              <w:rPr>
                <w:rFonts w:ascii="Times New Roman" w:hAnsi="Times New Roman" w:cs="Times New Roman" w:hint="eastAsia"/>
                <w:color w:val="000000" w:themeColor="text1"/>
                <w:kern w:val="0"/>
                <w:sz w:val="18"/>
                <w:szCs w:val="18"/>
              </w:rPr>
              <w:t>机器设备</w:t>
            </w:r>
          </w:p>
        </w:tc>
        <w:tc>
          <w:tcPr>
            <w:tcW w:w="1910" w:type="dxa"/>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187,056,305.83 </w:t>
            </w:r>
          </w:p>
        </w:tc>
        <w:tc>
          <w:tcPr>
            <w:tcW w:w="1935" w:type="dxa"/>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161,016,693.00 </w:t>
            </w:r>
          </w:p>
        </w:tc>
        <w:tc>
          <w:tcPr>
            <w:tcW w:w="1929"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-26,039,612.83 </w:t>
            </w:r>
          </w:p>
        </w:tc>
        <w:tc>
          <w:tcPr>
            <w:tcW w:w="1924"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-13.92 </w:t>
            </w:r>
          </w:p>
        </w:tc>
      </w:tr>
      <w:tr w:rsidR="00D56508" w:rsidRPr="00A214B0">
        <w:trPr>
          <w:trHeight w:hRule="exact" w:val="421"/>
          <w:jc w:val="center"/>
        </w:trPr>
        <w:tc>
          <w:tcPr>
            <w:tcW w:w="1351" w:type="dxa"/>
            <w:vAlign w:val="center"/>
          </w:tcPr>
          <w:p w:rsidR="00D56508" w:rsidRPr="00A214B0" w:rsidRDefault="00F1265B">
            <w:pPr>
              <w:widowControl/>
              <w:autoSpaceDE w:val="0"/>
              <w:autoSpaceDN w:val="0"/>
              <w:adjustRightInd w:val="0"/>
              <w:snapToGrid w:val="0"/>
              <w:spacing w:line="320" w:lineRule="exact"/>
              <w:jc w:val="center"/>
              <w:textAlignment w:val="baseline"/>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车辆</w:t>
            </w:r>
          </w:p>
        </w:tc>
        <w:tc>
          <w:tcPr>
            <w:tcW w:w="1910" w:type="dxa"/>
            <w:vAlign w:val="center"/>
          </w:tcPr>
          <w:p w:rsidR="00D56508" w:rsidRPr="00A214B0" w:rsidRDefault="00F1265B">
            <w:pPr>
              <w:widowControl/>
              <w:jc w:val="right"/>
              <w:textAlignment w:val="center"/>
              <w:rPr>
                <w:rFonts w:ascii="Times New Roman"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700,153.63 </w:t>
            </w:r>
          </w:p>
        </w:tc>
        <w:tc>
          <w:tcPr>
            <w:tcW w:w="1935" w:type="dxa"/>
            <w:vAlign w:val="center"/>
          </w:tcPr>
          <w:p w:rsidR="00D56508" w:rsidRPr="00A214B0" w:rsidRDefault="00F1265B">
            <w:pPr>
              <w:widowControl/>
              <w:jc w:val="right"/>
              <w:textAlignment w:val="center"/>
              <w:rPr>
                <w:rFonts w:ascii="Times New Roman"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892,059.66 </w:t>
            </w:r>
          </w:p>
        </w:tc>
        <w:tc>
          <w:tcPr>
            <w:tcW w:w="1929"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191,906.03 </w:t>
            </w:r>
          </w:p>
        </w:tc>
        <w:tc>
          <w:tcPr>
            <w:tcW w:w="1924"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27.41 </w:t>
            </w:r>
          </w:p>
        </w:tc>
      </w:tr>
      <w:tr w:rsidR="00D56508" w:rsidRPr="00A214B0">
        <w:trPr>
          <w:trHeight w:hRule="exact" w:val="396"/>
          <w:jc w:val="center"/>
        </w:trPr>
        <w:tc>
          <w:tcPr>
            <w:tcW w:w="1351" w:type="dxa"/>
            <w:vAlign w:val="center"/>
          </w:tcPr>
          <w:p w:rsidR="00D56508" w:rsidRPr="00A214B0" w:rsidRDefault="00F1265B">
            <w:pPr>
              <w:widowControl/>
              <w:autoSpaceDE w:val="0"/>
              <w:autoSpaceDN w:val="0"/>
              <w:adjustRightInd w:val="0"/>
              <w:snapToGrid w:val="0"/>
              <w:spacing w:line="320" w:lineRule="exact"/>
              <w:jc w:val="center"/>
              <w:textAlignment w:val="baseline"/>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电子设备</w:t>
            </w:r>
          </w:p>
        </w:tc>
        <w:tc>
          <w:tcPr>
            <w:tcW w:w="1910" w:type="dxa"/>
            <w:vAlign w:val="center"/>
          </w:tcPr>
          <w:p w:rsidR="00D56508" w:rsidRPr="00A214B0" w:rsidRDefault="00F1265B">
            <w:pPr>
              <w:widowControl/>
              <w:jc w:val="right"/>
              <w:textAlignment w:val="center"/>
              <w:rPr>
                <w:rFonts w:ascii="Times New Roman"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2,314,314.15 </w:t>
            </w:r>
          </w:p>
        </w:tc>
        <w:tc>
          <w:tcPr>
            <w:tcW w:w="1935" w:type="dxa"/>
            <w:vAlign w:val="center"/>
          </w:tcPr>
          <w:p w:rsidR="00D56508" w:rsidRPr="00A214B0" w:rsidRDefault="00F1265B">
            <w:pPr>
              <w:widowControl/>
              <w:jc w:val="right"/>
              <w:textAlignment w:val="center"/>
              <w:rPr>
                <w:rFonts w:ascii="Times New Roman"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2,440,420.00 </w:t>
            </w:r>
          </w:p>
        </w:tc>
        <w:tc>
          <w:tcPr>
            <w:tcW w:w="1929"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126,105.85 </w:t>
            </w:r>
          </w:p>
        </w:tc>
        <w:tc>
          <w:tcPr>
            <w:tcW w:w="1924"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5.45 </w:t>
            </w:r>
          </w:p>
        </w:tc>
      </w:tr>
      <w:tr w:rsidR="00D56508" w:rsidRPr="00A214B0">
        <w:trPr>
          <w:trHeight w:hRule="exact" w:val="396"/>
          <w:jc w:val="center"/>
        </w:trPr>
        <w:tc>
          <w:tcPr>
            <w:tcW w:w="1351" w:type="dxa"/>
            <w:vAlign w:val="center"/>
          </w:tcPr>
          <w:p w:rsidR="00D56508" w:rsidRPr="00A214B0" w:rsidRDefault="00F1265B">
            <w:pPr>
              <w:widowControl/>
              <w:autoSpaceDE w:val="0"/>
              <w:autoSpaceDN w:val="0"/>
              <w:adjustRightInd w:val="0"/>
              <w:snapToGrid w:val="0"/>
              <w:spacing w:line="320" w:lineRule="exact"/>
              <w:jc w:val="center"/>
              <w:textAlignment w:val="baseline"/>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c>
          <w:tcPr>
            <w:tcW w:w="1910"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190,070,773.61 </w:t>
            </w:r>
          </w:p>
        </w:tc>
        <w:tc>
          <w:tcPr>
            <w:tcW w:w="1935"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164,349,172.66 </w:t>
            </w:r>
          </w:p>
        </w:tc>
        <w:tc>
          <w:tcPr>
            <w:tcW w:w="1929"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-25,721,600.95 </w:t>
            </w:r>
          </w:p>
        </w:tc>
        <w:tc>
          <w:tcPr>
            <w:tcW w:w="1924" w:type="dxa"/>
            <w:vAlign w:val="center"/>
          </w:tcPr>
          <w:p w:rsidR="00D56508" w:rsidRPr="00A214B0" w:rsidRDefault="00F1265B">
            <w:pPr>
              <w:widowControl/>
              <w:jc w:val="right"/>
              <w:textAlignment w:val="center"/>
              <w:rPr>
                <w:rFonts w:ascii="Times New Roman" w:eastAsia="宋体"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-13.53 </w:t>
            </w:r>
          </w:p>
        </w:tc>
      </w:tr>
    </w:tbl>
    <w:p w:rsidR="00D56508" w:rsidRPr="00A214B0" w:rsidRDefault="00F1265B">
      <w:pPr>
        <w:pStyle w:val="a1"/>
        <w:tabs>
          <w:tab w:val="left" w:pos="1134"/>
        </w:tabs>
        <w:adjustRightInd w:val="0"/>
        <w:snapToGrid w:val="0"/>
        <w:spacing w:beforeLines="50" w:before="250" w:line="360" w:lineRule="auto"/>
        <w:outlineLvl w:val="2"/>
        <w:rPr>
          <w:color w:val="000000" w:themeColor="text1"/>
          <w:szCs w:val="24"/>
          <w:lang w:val="en-US"/>
        </w:rPr>
      </w:pPr>
      <w:r w:rsidRPr="00A214B0">
        <w:rPr>
          <w:color w:val="000000" w:themeColor="text1"/>
          <w:szCs w:val="24"/>
          <w:lang w:val="en-US"/>
        </w:rPr>
        <w:t>海企仓储</w:t>
      </w:r>
      <w:r w:rsidRPr="00A214B0">
        <w:rPr>
          <w:rFonts w:hint="eastAsia"/>
          <w:color w:val="000000" w:themeColor="text1"/>
          <w:szCs w:val="24"/>
          <w:lang w:val="en-US"/>
        </w:rPr>
        <w:t>机器设备形成</w:t>
      </w:r>
      <w:r w:rsidRPr="00A214B0">
        <w:rPr>
          <w:color w:val="000000" w:themeColor="text1"/>
          <w:szCs w:val="24"/>
          <w:lang w:val="en-US"/>
        </w:rPr>
        <w:t>减值</w:t>
      </w:r>
      <w:r w:rsidRPr="00A214B0">
        <w:rPr>
          <w:rFonts w:hint="eastAsia"/>
          <w:color w:val="000000" w:themeColor="text1"/>
          <w:szCs w:val="24"/>
          <w:lang w:val="en-US"/>
        </w:rPr>
        <w:t>，主要</w:t>
      </w:r>
      <w:r w:rsidRPr="00A214B0">
        <w:rPr>
          <w:color w:val="000000" w:themeColor="text1"/>
          <w:szCs w:val="24"/>
          <w:lang w:val="en-US"/>
        </w:rPr>
        <w:t>原因</w:t>
      </w:r>
      <w:r w:rsidRPr="00A214B0">
        <w:rPr>
          <w:rFonts w:hint="eastAsia"/>
          <w:color w:val="000000" w:themeColor="text1"/>
          <w:szCs w:val="24"/>
          <w:lang w:val="en-US"/>
        </w:rPr>
        <w:t>为</w:t>
      </w:r>
      <w:r w:rsidRPr="00A214B0">
        <w:rPr>
          <w:color w:val="000000" w:themeColor="text1"/>
          <w:szCs w:val="24"/>
          <w:lang w:val="en-US"/>
        </w:rPr>
        <w:t>：</w:t>
      </w:r>
      <w:r w:rsidRPr="00A214B0">
        <w:rPr>
          <w:color w:val="000000" w:themeColor="text1"/>
          <w:szCs w:val="24"/>
          <w:lang w:val="en-US"/>
        </w:rPr>
        <w:t>2016</w:t>
      </w:r>
      <w:r w:rsidRPr="00A214B0">
        <w:rPr>
          <w:color w:val="000000" w:themeColor="text1"/>
          <w:szCs w:val="24"/>
          <w:lang w:val="en-US"/>
        </w:rPr>
        <w:t>年，因部分储罐变更仓储介质，对部分保温及附属设施进行了改造或更换，改造及更换部分均单独入账，拆除和被更换的部分未做账务处理。本次评估将该部分改造工程及更换设备并入储罐评估。</w:t>
      </w:r>
    </w:p>
    <w:p w:rsidR="00D56508" w:rsidRPr="00A214B0" w:rsidRDefault="00F1265B">
      <w:pPr>
        <w:pStyle w:val="a1"/>
        <w:tabs>
          <w:tab w:val="left" w:pos="1134"/>
        </w:tabs>
        <w:adjustRightInd w:val="0"/>
        <w:snapToGrid w:val="0"/>
        <w:spacing w:line="360" w:lineRule="auto"/>
        <w:ind w:firstLineChars="200" w:firstLine="480"/>
        <w:outlineLvl w:val="2"/>
        <w:rPr>
          <w:color w:val="000000" w:themeColor="text1"/>
          <w:szCs w:val="24"/>
        </w:rPr>
      </w:pPr>
      <w:r w:rsidRPr="00A214B0">
        <w:rPr>
          <w:color w:val="000000" w:themeColor="text1"/>
          <w:szCs w:val="24"/>
          <w:lang w:val="en-US"/>
        </w:rPr>
        <w:t>5</w:t>
      </w:r>
      <w:r w:rsidRPr="00A214B0">
        <w:rPr>
          <w:color w:val="000000" w:themeColor="text1"/>
          <w:szCs w:val="24"/>
        </w:rPr>
        <w:t>.</w:t>
      </w:r>
      <w:r w:rsidRPr="00A214B0">
        <w:rPr>
          <w:color w:val="000000" w:themeColor="text1"/>
          <w:szCs w:val="24"/>
        </w:rPr>
        <w:t>评估案例</w:t>
      </w:r>
    </w:p>
    <w:p w:rsidR="00D56508" w:rsidRPr="00A214B0" w:rsidRDefault="00F1265B">
      <w:pPr>
        <w:adjustRightInd w:val="0"/>
        <w:snapToGrid w:val="0"/>
        <w:spacing w:line="360" w:lineRule="auto"/>
        <w:ind w:firstLineChars="200" w:firstLine="480"/>
        <w:rPr>
          <w:rFonts w:ascii="Times New Roman" w:hAnsi="Times New Roman" w:cs="Times New Roman"/>
          <w:b/>
          <w:color w:val="000000" w:themeColor="text1"/>
          <w:sz w:val="24"/>
          <w:szCs w:val="24"/>
        </w:rPr>
      </w:pPr>
      <w:r w:rsidRPr="00A214B0">
        <w:rPr>
          <w:rFonts w:ascii="Times New Roman" w:hAnsi="Times New Roman" w:cs="Times New Roman"/>
          <w:color w:val="000000" w:themeColor="text1"/>
          <w:sz w:val="24"/>
        </w:rPr>
        <w:t>案例</w:t>
      </w:r>
      <w:r w:rsidRPr="00A214B0">
        <w:rPr>
          <w:rFonts w:ascii="Times New Roman" w:hAnsi="Times New Roman" w:cs="Times New Roman"/>
          <w:color w:val="000000" w:themeColor="text1"/>
          <w:sz w:val="24"/>
        </w:rPr>
        <w:t>1</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螺杆式水冷冷水机组</w:t>
      </w:r>
      <w:r w:rsidRPr="00A214B0">
        <w:rPr>
          <w:rFonts w:ascii="Times New Roman" w:hAnsi="Times New Roman" w:cs="Times New Roman"/>
          <w:color w:val="000000" w:themeColor="text1"/>
          <w:sz w:val="24"/>
        </w:rPr>
        <w:t>（机器设备评估明细表序号</w:t>
      </w:r>
      <w:r w:rsidRPr="00A214B0">
        <w:rPr>
          <w:rFonts w:ascii="Times New Roman" w:hAnsi="Times New Roman" w:cs="Times New Roman" w:hint="eastAsia"/>
          <w:color w:val="000000" w:themeColor="text1"/>
          <w:sz w:val="24"/>
        </w:rPr>
        <w:t>853</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设备名称：</w:t>
      </w:r>
      <w:r w:rsidRPr="00A214B0">
        <w:rPr>
          <w:rFonts w:ascii="Times New Roman" w:hAnsi="Times New Roman" w:cs="Times New Roman" w:hint="eastAsia"/>
          <w:color w:val="000000" w:themeColor="text1"/>
          <w:sz w:val="24"/>
        </w:rPr>
        <w:t>螺杆式水冷冷水机组</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规格型号：</w:t>
      </w:r>
      <w:r w:rsidRPr="00A214B0">
        <w:rPr>
          <w:rFonts w:ascii="Times New Roman" w:hAnsi="Times New Roman" w:cs="Times New Roman" w:hint="eastAsia"/>
          <w:color w:val="000000" w:themeColor="text1"/>
          <w:sz w:val="24"/>
          <w:szCs w:val="24"/>
        </w:rPr>
        <w:t>SNOWING-B-480-2L15</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数</w:t>
      </w:r>
      <w:r w:rsidRPr="00A214B0">
        <w:rPr>
          <w:rFonts w:ascii="Times New Roman" w:hAnsi="Times New Roman" w:cs="Times New Roman"/>
          <w:color w:val="000000" w:themeColor="text1"/>
          <w:sz w:val="24"/>
          <w:szCs w:val="24"/>
        </w:rPr>
        <w:t xml:space="preserve">    </w:t>
      </w:r>
      <w:r w:rsidRPr="00A214B0">
        <w:rPr>
          <w:rFonts w:ascii="Times New Roman" w:hAnsi="Times New Roman" w:cs="Times New Roman"/>
          <w:color w:val="000000" w:themeColor="text1"/>
          <w:sz w:val="24"/>
          <w:szCs w:val="24"/>
        </w:rPr>
        <w:t>量：</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台</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制造厂家：</w:t>
      </w:r>
      <w:r w:rsidRPr="00A214B0">
        <w:rPr>
          <w:rFonts w:ascii="Times New Roman" w:hAnsi="Times New Roman" w:cs="Times New Roman" w:hint="eastAsia"/>
          <w:color w:val="000000" w:themeColor="text1"/>
          <w:sz w:val="24"/>
          <w:szCs w:val="24"/>
        </w:rPr>
        <w:t>上海富田空调冷冻设备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启用</w:t>
      </w:r>
      <w:r w:rsidRPr="00A214B0">
        <w:rPr>
          <w:rFonts w:ascii="Times New Roman" w:hAnsi="Times New Roman" w:cs="Times New Roman"/>
          <w:color w:val="000000" w:themeColor="text1"/>
          <w:sz w:val="24"/>
          <w:szCs w:val="24"/>
        </w:rPr>
        <w:t>日期：</w:t>
      </w:r>
      <w:r w:rsidRPr="00A214B0">
        <w:rPr>
          <w:rFonts w:ascii="Times New Roman" w:hAnsi="Times New Roman" w:cs="Times New Roman"/>
          <w:color w:val="000000" w:themeColor="text1"/>
          <w:sz w:val="24"/>
          <w:szCs w:val="24"/>
        </w:rPr>
        <w:t>20</w:t>
      </w:r>
      <w:r w:rsidRPr="00A214B0">
        <w:rPr>
          <w:rFonts w:ascii="Times New Roman" w:hAnsi="Times New Roman" w:cs="Times New Roman" w:hint="eastAsia"/>
          <w:color w:val="000000" w:themeColor="text1"/>
          <w:sz w:val="24"/>
          <w:szCs w:val="24"/>
        </w:rPr>
        <w:t>13</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5</w:t>
      </w:r>
      <w:r w:rsidRPr="00A214B0">
        <w:rPr>
          <w:rFonts w:ascii="Times New Roman" w:hAnsi="Times New Roman" w:cs="Times New Roman"/>
          <w:color w:val="000000" w:themeColor="text1"/>
          <w:sz w:val="24"/>
          <w:szCs w:val="24"/>
        </w:rPr>
        <w:t>月</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帐面原值：</w:t>
      </w:r>
      <w:r w:rsidRPr="00A214B0">
        <w:rPr>
          <w:rFonts w:ascii="Times New Roman" w:hAnsi="Times New Roman" w:cs="Times New Roman" w:hint="eastAsia"/>
          <w:color w:val="000000" w:themeColor="text1"/>
          <w:sz w:val="24"/>
          <w:szCs w:val="24"/>
        </w:rPr>
        <w:t xml:space="preserve"> 760,000.00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color w:val="000000" w:themeColor="text1"/>
        </w:rPr>
      </w:pPr>
      <w:r w:rsidRPr="00A214B0">
        <w:rPr>
          <w:rFonts w:ascii="Times New Roman" w:hAnsi="Times New Roman" w:cs="Times New Roman"/>
          <w:color w:val="000000" w:themeColor="text1"/>
          <w:sz w:val="24"/>
          <w:szCs w:val="24"/>
        </w:rPr>
        <w:t>账面净值：</w:t>
      </w:r>
      <w:r w:rsidRPr="00A214B0">
        <w:rPr>
          <w:rFonts w:ascii="Times New Roman" w:hAnsi="Times New Roman" w:cs="Times New Roman" w:hint="eastAsia"/>
          <w:color w:val="000000" w:themeColor="text1"/>
          <w:sz w:val="24"/>
          <w:szCs w:val="24"/>
        </w:rPr>
        <w:t xml:space="preserve"> 475,651.36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安装地点：企业位于泰州市高港区永安洲工业园</w:t>
      </w:r>
      <w:r w:rsidRPr="00A214B0">
        <w:rPr>
          <w:rFonts w:ascii="Times New Roman" w:hAnsi="Times New Roman" w:cs="Times New Roman" w:hint="eastAsia"/>
          <w:color w:val="000000" w:themeColor="text1"/>
          <w:sz w:val="24"/>
          <w:szCs w:val="24"/>
        </w:rPr>
        <w:t>厂区内公用工程机</w:t>
      </w:r>
      <w:r w:rsidRPr="00A214B0">
        <w:rPr>
          <w:rFonts w:ascii="Times New Roman" w:hAnsi="Times New Roman" w:cs="Times New Roman"/>
          <w:color w:val="000000" w:themeColor="text1"/>
          <w:sz w:val="24"/>
          <w:szCs w:val="24"/>
        </w:rPr>
        <w:t>房内。</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）设备概况</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SNOWING </w:t>
      </w:r>
      <w:r w:rsidRPr="00A214B0">
        <w:rPr>
          <w:rFonts w:ascii="Times New Roman" w:hAnsi="Times New Roman" w:cs="Times New Roman"/>
          <w:color w:val="000000" w:themeColor="text1"/>
          <w:sz w:val="24"/>
          <w:szCs w:val="24"/>
        </w:rPr>
        <w:t>系列螺杆式水冷冷水机组是一种以水为冷却介质及载冷剂，以</w:t>
      </w:r>
      <w:r w:rsidRPr="00A214B0">
        <w:rPr>
          <w:rFonts w:ascii="Times New Roman" w:hAnsi="Times New Roman" w:cs="Times New Roman"/>
          <w:color w:val="000000" w:themeColor="text1"/>
          <w:sz w:val="24"/>
          <w:szCs w:val="24"/>
        </w:rPr>
        <w:t xml:space="preserve"> R22 </w:t>
      </w:r>
      <w:r w:rsidRPr="00A214B0">
        <w:rPr>
          <w:rFonts w:ascii="Times New Roman" w:hAnsi="Times New Roman" w:cs="Times New Roman"/>
          <w:color w:val="000000" w:themeColor="text1"/>
          <w:sz w:val="24"/>
          <w:szCs w:val="24"/>
        </w:rPr>
        <w:t>及</w:t>
      </w:r>
      <w:r w:rsidRPr="00A214B0">
        <w:rPr>
          <w:rFonts w:ascii="Times New Roman" w:hAnsi="Times New Roman" w:cs="Times New Roman"/>
          <w:color w:val="000000" w:themeColor="text1"/>
          <w:sz w:val="24"/>
          <w:szCs w:val="24"/>
        </w:rPr>
        <w:t xml:space="preserve"> R134a</w:t>
      </w:r>
      <w:r w:rsidRPr="00A214B0">
        <w:rPr>
          <w:rFonts w:ascii="Times New Roman" w:hAnsi="Times New Roman" w:cs="Times New Roman"/>
          <w:color w:val="000000" w:themeColor="text1"/>
          <w:sz w:val="24"/>
          <w:szCs w:val="24"/>
        </w:rPr>
        <w:t>环保冷媒为制冷剂的中央空调机组。</w:t>
      </w:r>
      <w:r w:rsidRPr="00A214B0">
        <w:rPr>
          <w:rFonts w:ascii="Times New Roman" w:hAnsi="Times New Roman" w:cs="Times New Roman" w:hint="eastAsia"/>
          <w:color w:val="000000" w:themeColor="text1"/>
          <w:sz w:val="24"/>
          <w:szCs w:val="24"/>
        </w:rPr>
        <w:t>评估人员通过现场勘察，并查阅相关购置合同、设备使用手册等资料，了解到其主要技术参数如下：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输入功率：</w:t>
      </w:r>
      <w:r w:rsidRPr="00A214B0">
        <w:rPr>
          <w:rFonts w:ascii="Times New Roman" w:hAnsi="Times New Roman" w:cs="Times New Roman" w:hint="eastAsia"/>
          <w:color w:val="000000" w:themeColor="text1"/>
          <w:sz w:val="24"/>
          <w:szCs w:val="24"/>
        </w:rPr>
        <w:t>258KW</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标准制冷量：</w:t>
      </w:r>
      <w:r w:rsidRPr="00A214B0">
        <w:rPr>
          <w:rFonts w:ascii="Times New Roman" w:hAnsi="Times New Roman" w:cs="Times New Roman" w:hint="eastAsia"/>
          <w:color w:val="000000" w:themeColor="text1"/>
          <w:sz w:val="24"/>
          <w:szCs w:val="24"/>
        </w:rPr>
        <w:t>1484KW</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设备重量：</w:t>
      </w:r>
      <w:r w:rsidRPr="00A214B0">
        <w:rPr>
          <w:rFonts w:ascii="Times New Roman" w:hAnsi="Times New Roman" w:cs="Times New Roman" w:hint="eastAsia"/>
          <w:color w:val="000000" w:themeColor="text1"/>
          <w:sz w:val="24"/>
          <w:szCs w:val="24"/>
        </w:rPr>
        <w:t>7700KG</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外形尺寸：</w:t>
      </w:r>
      <w:r w:rsidRPr="00A214B0">
        <w:rPr>
          <w:rFonts w:ascii="Times New Roman" w:hAnsi="Times New Roman" w:cs="Times New Roman" w:hint="eastAsia"/>
          <w:color w:val="000000" w:themeColor="text1"/>
          <w:sz w:val="24"/>
          <w:szCs w:val="24"/>
        </w:rPr>
        <w:t>4700*2100*2150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2</w:t>
      </w:r>
      <w:r w:rsidRPr="00A214B0">
        <w:rPr>
          <w:rFonts w:ascii="Times New Roman" w:hAnsi="Times New Roman" w:cs="Times New Roman" w:hint="eastAsia"/>
          <w:color w:val="000000" w:themeColor="text1"/>
          <w:sz w:val="24"/>
          <w:szCs w:val="24"/>
        </w:rPr>
        <w:t>）重置全价的确定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①</w:t>
      </w:r>
      <w:r w:rsidRPr="00A214B0">
        <w:rPr>
          <w:rFonts w:ascii="Times New Roman" w:hAnsi="Times New Roman" w:cs="Times New Roman"/>
          <w:color w:val="000000" w:themeColor="text1"/>
          <w:sz w:val="24"/>
          <w:szCs w:val="24"/>
        </w:rPr>
        <w:t>设备购置价</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评估专业人员首先查阅了原定货合同与有关凭证，结合所掌握的近期价格资料，经必要的市场调研，</w:t>
      </w:r>
      <w:r w:rsidRPr="00A214B0">
        <w:rPr>
          <w:rFonts w:ascii="Times New Roman" w:hAnsi="Times New Roman" w:cs="Times New Roman" w:hint="eastAsia"/>
          <w:color w:val="000000" w:themeColor="text1"/>
          <w:sz w:val="24"/>
          <w:szCs w:val="24"/>
        </w:rPr>
        <w:t>并电话咨询该设备厂家，</w:t>
      </w:r>
      <w:r w:rsidRPr="00A214B0">
        <w:rPr>
          <w:rFonts w:ascii="Times New Roman" w:hAnsi="Times New Roman" w:cs="Times New Roman"/>
          <w:color w:val="000000" w:themeColor="text1"/>
          <w:sz w:val="24"/>
          <w:szCs w:val="24"/>
        </w:rPr>
        <w:t>确定该型号的螺杆式水冷冷水机组在评估基准日附近的含税购置价为</w:t>
      </w:r>
      <w:r w:rsidRPr="00A214B0">
        <w:rPr>
          <w:rFonts w:ascii="Times New Roman" w:hAnsi="Times New Roman" w:cs="Times New Roman" w:hint="eastAsia"/>
          <w:color w:val="000000" w:themeColor="text1"/>
          <w:sz w:val="24"/>
          <w:szCs w:val="24"/>
        </w:rPr>
        <w:t>70</w:t>
      </w:r>
      <w:r w:rsidRPr="00A214B0">
        <w:rPr>
          <w:rFonts w:ascii="Times New Roman" w:hAnsi="Times New Roman" w:cs="Times New Roman"/>
          <w:color w:val="000000" w:themeColor="text1"/>
          <w:sz w:val="24"/>
          <w:szCs w:val="24"/>
        </w:rPr>
        <w:t>0,000.00</w:t>
      </w:r>
      <w:r w:rsidRPr="00A214B0">
        <w:rPr>
          <w:rFonts w:ascii="Times New Roman" w:hAnsi="Times New Roman" w:cs="Times New Roman"/>
          <w:color w:val="000000" w:themeColor="text1"/>
          <w:sz w:val="24"/>
          <w:szCs w:val="24"/>
        </w:rPr>
        <w:t>元，厂</w:t>
      </w:r>
      <w:r w:rsidRPr="00A214B0">
        <w:rPr>
          <w:rFonts w:ascii="Times New Roman" w:hAnsi="Times New Roman" w:cs="Times New Roman"/>
          <w:color w:val="000000" w:themeColor="text1"/>
          <w:sz w:val="24"/>
        </w:rPr>
        <w:t>家负责送货上门并提供相关技术指导与服务。</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②</w:t>
      </w:r>
      <w:r w:rsidRPr="00A214B0">
        <w:rPr>
          <w:rFonts w:ascii="Times New Roman" w:hAnsi="Times New Roman" w:cs="Times New Roman"/>
          <w:color w:val="000000" w:themeColor="text1"/>
          <w:sz w:val="24"/>
        </w:rPr>
        <w:t>重置全价测算</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通过现场勘察了解，该设备安装不需复杂的独立基础，故不需考虑基础费用。</w:t>
      </w:r>
      <w:r w:rsidRPr="00A214B0">
        <w:rPr>
          <w:rFonts w:ascii="Times New Roman" w:hAnsi="Times New Roman" w:cs="Times New Roman"/>
          <w:color w:val="000000" w:themeColor="text1"/>
          <w:sz w:val="24"/>
        </w:rPr>
        <w:t>参照最新《资产评估常用数据与参数手册》，本次评估安装调试费率取</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。参考《工程勘察设计收费管理规定》、《基本建设项目建设成本管理规定》等相关造价信息及企业固定资产投资总额，本次评估前期费率取</w:t>
      </w:r>
      <w:r w:rsidRPr="00A214B0">
        <w:rPr>
          <w:rFonts w:ascii="Times New Roman" w:hAnsi="Times New Roman" w:cs="Times New Roman" w:hint="eastAsia"/>
          <w:color w:val="000000" w:themeColor="text1"/>
          <w:sz w:val="24"/>
        </w:rPr>
        <w:t>6.543%</w:t>
      </w:r>
      <w:r w:rsidRPr="00A214B0">
        <w:rPr>
          <w:rFonts w:ascii="Times New Roman" w:hAnsi="Times New Roman" w:cs="Times New Roman" w:hint="eastAsia"/>
          <w:color w:val="000000" w:themeColor="text1"/>
          <w:sz w:val="24"/>
        </w:rPr>
        <w:t>（其中建设单位管理费</w:t>
      </w:r>
      <w:r w:rsidRPr="00A214B0">
        <w:rPr>
          <w:rFonts w:ascii="Times New Roman" w:hAnsi="Times New Roman" w:cs="Times New Roman" w:hint="eastAsia"/>
          <w:color w:val="000000" w:themeColor="text1"/>
          <w:sz w:val="24"/>
        </w:rPr>
        <w:t>1.080%</w:t>
      </w:r>
      <w:r w:rsidRPr="00A214B0">
        <w:rPr>
          <w:rFonts w:ascii="Times New Roman" w:hAnsi="Times New Roman" w:cs="Times New Roman" w:hint="eastAsia"/>
          <w:color w:val="000000" w:themeColor="text1"/>
          <w:sz w:val="24"/>
        </w:rPr>
        <w:t>）。通过现场勘察了解，评估人员认定该设备</w:t>
      </w:r>
      <w:r w:rsidRPr="00A214B0">
        <w:rPr>
          <w:rFonts w:ascii="Times New Roman" w:hAnsi="Times New Roman" w:cs="Times New Roman"/>
          <w:color w:val="000000" w:themeColor="text1"/>
          <w:sz w:val="24"/>
        </w:rPr>
        <w:t>建设期约</w:t>
      </w:r>
      <w:r w:rsidRPr="00A214B0">
        <w:rPr>
          <w:rFonts w:ascii="Times New Roman" w:hAnsi="Times New Roman" w:cs="Times New Roman" w:hint="eastAsia"/>
          <w:color w:val="000000" w:themeColor="text1"/>
          <w:sz w:val="24"/>
        </w:rPr>
        <w:t>为</w:t>
      </w:r>
      <w:r w:rsidRPr="00A214B0">
        <w:rPr>
          <w:rFonts w:ascii="Times New Roman" w:hAnsi="Times New Roman" w:cs="Times New Roman" w:hint="eastAsia"/>
          <w:color w:val="000000" w:themeColor="text1"/>
          <w:sz w:val="24"/>
        </w:rPr>
        <w:t>0.5</w:t>
      </w:r>
      <w:r w:rsidRPr="00A214B0">
        <w:rPr>
          <w:rFonts w:ascii="Times New Roman" w:hAnsi="Times New Roman" w:cs="Times New Roman"/>
          <w:color w:val="000000" w:themeColor="text1"/>
          <w:sz w:val="24"/>
        </w:rPr>
        <w:t>年，资金按均匀投入考虑，银行贷款利率取</w:t>
      </w:r>
      <w:r w:rsidRPr="00A214B0">
        <w:rPr>
          <w:rFonts w:ascii="Times New Roman" w:hAnsi="Times New Roman" w:cs="Times New Roman"/>
          <w:color w:val="000000" w:themeColor="text1"/>
          <w:sz w:val="24"/>
        </w:rPr>
        <w:t>4.35%</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则重置全价具体计算如下：</w:t>
      </w:r>
    </w:p>
    <w:p w:rsidR="00D56508" w:rsidRPr="00A214B0" w:rsidRDefault="00F1265B" w:rsidP="0008122B">
      <w:pPr>
        <w:adjustRightInd w:val="0"/>
        <w:snapToGrid w:val="0"/>
        <w:spacing w:line="360" w:lineRule="auto"/>
        <w:ind w:firstLineChars="200" w:firstLine="480"/>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重置全价</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70</w:t>
      </w:r>
      <w:r w:rsidRPr="00A214B0">
        <w:rPr>
          <w:rFonts w:ascii="Times New Roman" w:hAnsi="Times New Roman" w:cs="Times New Roman"/>
          <w:color w:val="000000" w:themeColor="text1"/>
          <w:sz w:val="24"/>
        </w:rPr>
        <w:t>0,000.00×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1+</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1+</w:t>
      </w:r>
      <w:r w:rsidRPr="00A214B0">
        <w:rPr>
          <w:rFonts w:ascii="Times New Roman" w:hAnsi="Times New Roman" w:cs="Times New Roman" w:hint="eastAsia"/>
          <w:color w:val="000000" w:themeColor="text1"/>
          <w:sz w:val="24"/>
        </w:rPr>
        <w:t>6.543%</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1+4.35%×</w:t>
      </w:r>
      <w:r w:rsidRPr="00A214B0">
        <w:rPr>
          <w:rFonts w:ascii="Times New Roman" w:hAnsi="Times New Roman" w:cs="Times New Roman" w:hint="eastAsia"/>
          <w:color w:val="000000" w:themeColor="text1"/>
          <w:sz w:val="24"/>
        </w:rPr>
        <w:t>0.5</w:t>
      </w:r>
      <w:r w:rsidRPr="00A214B0">
        <w:rPr>
          <w:rFonts w:ascii="Times New Roman" w:hAnsi="Times New Roman" w:cs="Times New Roman"/>
          <w:color w:val="000000" w:themeColor="text1"/>
          <w:sz w:val="24"/>
        </w:rPr>
        <w:t>/2</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70</w:t>
      </w:r>
      <w:r w:rsidRPr="00A214B0">
        <w:rPr>
          <w:rFonts w:ascii="Times New Roman" w:hAnsi="Times New Roman" w:cs="Times New Roman"/>
          <w:color w:val="000000" w:themeColor="text1"/>
          <w:sz w:val="24"/>
        </w:rPr>
        <w:t>0,000.00×0.1</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/1.1</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70</w:t>
      </w:r>
      <w:r w:rsidRPr="00A214B0">
        <w:rPr>
          <w:rFonts w:ascii="Times New Roman" w:hAnsi="Times New Roman" w:cs="Times New Roman"/>
          <w:color w:val="000000" w:themeColor="text1"/>
          <w:sz w:val="24"/>
        </w:rPr>
        <w:t>0,000.00×</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%×0.</w:t>
      </w:r>
      <w:r w:rsidRPr="00A214B0">
        <w:rPr>
          <w:rFonts w:ascii="Times New Roman" w:hAnsi="Times New Roman" w:cs="Times New Roman" w:hint="eastAsia"/>
          <w:color w:val="000000" w:themeColor="text1"/>
          <w:sz w:val="24"/>
        </w:rPr>
        <w:t>09</w:t>
      </w:r>
      <w:r w:rsidRPr="00A214B0">
        <w:rPr>
          <w:rFonts w:ascii="Times New Roman" w:hAnsi="Times New Roman" w:cs="Times New Roman"/>
          <w:color w:val="000000" w:themeColor="text1"/>
          <w:sz w:val="24"/>
        </w:rPr>
        <w:t>/1.</w:t>
      </w:r>
      <w:r w:rsidRPr="00A214B0">
        <w:rPr>
          <w:rFonts w:ascii="Times New Roman" w:hAnsi="Times New Roman" w:cs="Times New Roman" w:hint="eastAsia"/>
          <w:color w:val="000000" w:themeColor="text1"/>
          <w:sz w:val="24"/>
        </w:rPr>
        <w:t>09</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70</w:t>
      </w:r>
      <w:r w:rsidRPr="00A214B0">
        <w:rPr>
          <w:rFonts w:ascii="Times New Roman" w:hAnsi="Times New Roman" w:cs="Times New Roman"/>
          <w:color w:val="000000" w:themeColor="text1"/>
          <w:sz w:val="24"/>
        </w:rPr>
        <w:t>0,000.00×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1+</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6.543%</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1.080%</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×0.06/1.06</w:t>
      </w:r>
    </w:p>
    <w:p w:rsidR="00D56508" w:rsidRPr="00A214B0" w:rsidRDefault="00F1265B">
      <w:pPr>
        <w:adjustRightInd w:val="0"/>
        <w:snapToGrid w:val="0"/>
        <w:spacing w:line="360" w:lineRule="auto"/>
        <w:ind w:firstLineChars="700" w:firstLine="16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 xml:space="preserve"> 692,000.00 </w:t>
      </w:r>
      <w:r w:rsidRPr="00A214B0">
        <w:rPr>
          <w:rFonts w:ascii="Times New Roman" w:hAnsi="Times New Roman" w:cs="Times New Roman"/>
          <w:color w:val="000000" w:themeColor="text1"/>
          <w:sz w:val="24"/>
        </w:rPr>
        <w:t>元</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取整</w:t>
      </w:r>
      <w:r w:rsidRPr="00A214B0">
        <w:rPr>
          <w:rFonts w:ascii="Times New Roman" w:hAnsi="Times New Roman" w:cs="Times New Roman" w:hint="eastAsia"/>
          <w:color w:val="000000" w:themeColor="text1"/>
          <w:sz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）成新率的确定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rPr>
        <w:t>该</w:t>
      </w:r>
      <w:r w:rsidRPr="00A214B0">
        <w:rPr>
          <w:rFonts w:ascii="Times New Roman" w:hAnsi="Times New Roman" w:cs="Times New Roman"/>
          <w:color w:val="000000" w:themeColor="text1"/>
          <w:sz w:val="24"/>
          <w:szCs w:val="24"/>
        </w:rPr>
        <w:t>螺杆式水冷冷水机组</w:t>
      </w:r>
      <w:r w:rsidRPr="00A214B0">
        <w:rPr>
          <w:rFonts w:ascii="Times New Roman" w:hAnsi="Times New Roman" w:cs="Times New Roman"/>
          <w:color w:val="000000" w:themeColor="text1"/>
          <w:sz w:val="24"/>
        </w:rPr>
        <w:t>于</w:t>
      </w:r>
      <w:r w:rsidRPr="00A214B0">
        <w:rPr>
          <w:rFonts w:ascii="Times New Roman" w:hAnsi="Times New Roman" w:cs="Times New Roman"/>
          <w:color w:val="000000" w:themeColor="text1"/>
          <w:sz w:val="24"/>
          <w:szCs w:val="24"/>
        </w:rPr>
        <w:t>20</w:t>
      </w:r>
      <w:r w:rsidRPr="00A214B0">
        <w:rPr>
          <w:rFonts w:ascii="Times New Roman" w:hAnsi="Times New Roman" w:cs="Times New Roman" w:hint="eastAsia"/>
          <w:color w:val="000000" w:themeColor="text1"/>
          <w:sz w:val="24"/>
          <w:szCs w:val="24"/>
        </w:rPr>
        <w:t>13</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5</w:t>
      </w:r>
      <w:r w:rsidRPr="00A214B0">
        <w:rPr>
          <w:rFonts w:ascii="Times New Roman" w:hAnsi="Times New Roman" w:cs="Times New Roman"/>
          <w:color w:val="000000" w:themeColor="text1"/>
          <w:sz w:val="24"/>
          <w:szCs w:val="24"/>
        </w:rPr>
        <w:t>月</w:t>
      </w:r>
      <w:r w:rsidRPr="00A214B0">
        <w:rPr>
          <w:rFonts w:ascii="Times New Roman" w:hAnsi="Times New Roman" w:cs="Times New Roman" w:hint="eastAsia"/>
          <w:color w:val="000000" w:themeColor="text1"/>
          <w:sz w:val="24"/>
        </w:rPr>
        <w:t>购入并投入使用</w:t>
      </w:r>
      <w:r w:rsidRPr="00A214B0">
        <w:rPr>
          <w:rFonts w:ascii="Times New Roman" w:hAnsi="Times New Roman" w:cs="Times New Roman"/>
          <w:color w:val="000000" w:themeColor="text1"/>
          <w:sz w:val="24"/>
        </w:rPr>
        <w:t>，至评估基准日已经</w:t>
      </w:r>
      <w:r w:rsidRPr="00A214B0">
        <w:rPr>
          <w:rFonts w:ascii="Times New Roman" w:hAnsi="Times New Roman" w:cs="Times New Roman" w:hint="eastAsia"/>
          <w:color w:val="000000" w:themeColor="text1"/>
          <w:sz w:val="24"/>
        </w:rPr>
        <w:t>使用</w:t>
      </w:r>
      <w:r w:rsidRPr="00A214B0">
        <w:rPr>
          <w:rFonts w:ascii="Times New Roman" w:hAnsi="Times New Roman" w:cs="Times New Roman" w:hint="eastAsia"/>
          <w:color w:val="000000" w:themeColor="text1"/>
          <w:kern w:val="0"/>
          <w:sz w:val="24"/>
          <w:szCs w:val="24"/>
        </w:rPr>
        <w:t>6.00</w:t>
      </w:r>
      <w:r w:rsidRPr="00A214B0">
        <w:rPr>
          <w:rFonts w:ascii="Times New Roman" w:hAnsi="Times New Roman" w:cs="Times New Roman"/>
          <w:color w:val="000000" w:themeColor="text1"/>
          <w:sz w:val="24"/>
        </w:rPr>
        <w:t>年，参照《最新资产评估常用数据与参数手册》，</w:t>
      </w:r>
      <w:r w:rsidRPr="00A214B0">
        <w:rPr>
          <w:rFonts w:ascii="Times New Roman" w:hAnsi="Times New Roman" w:cs="Times New Roman"/>
          <w:color w:val="000000" w:themeColor="text1"/>
          <w:sz w:val="24"/>
          <w:szCs w:val="24"/>
        </w:rPr>
        <w:t>并通过现场勘察设备现状、查阅设备运行、修理及设备管理的档案资料，以及向工程技术人员、操作人员了解设备技术状况、实际负荷情况、故障情况、大修理情况、技术改造情况、维修保养情况等，同时考虑设备的已使用年限等因素，综合确定设备的尚可使用年限为</w:t>
      </w:r>
      <w:r w:rsidRPr="00A214B0">
        <w:rPr>
          <w:rFonts w:ascii="Times New Roman" w:hAnsi="Times New Roman" w:cs="Times New Roman" w:hint="eastAsia"/>
          <w:color w:val="000000" w:themeColor="text1"/>
          <w:sz w:val="24"/>
          <w:szCs w:val="24"/>
        </w:rPr>
        <w:t>6</w:t>
      </w:r>
      <w:r w:rsidRPr="00A214B0">
        <w:rPr>
          <w:rFonts w:ascii="Times New Roman" w:hAnsi="Times New Roman" w:cs="Times New Roman"/>
          <w:color w:val="000000" w:themeColor="text1"/>
          <w:sz w:val="24"/>
          <w:szCs w:val="24"/>
        </w:rPr>
        <w:t>年，然后按以下公式</w:t>
      </w:r>
      <w:r w:rsidRPr="00A214B0">
        <w:rPr>
          <w:rFonts w:ascii="Times New Roman" w:hAnsi="Times New Roman" w:cs="Times New Roman" w:hint="eastAsia"/>
          <w:color w:val="000000" w:themeColor="text1"/>
          <w:sz w:val="24"/>
          <w:szCs w:val="24"/>
        </w:rPr>
        <w:t>计算</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成新率＝尚可使用年限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尚可使用年限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)×100%</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6</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6</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kern w:val="0"/>
          <w:sz w:val="24"/>
          <w:szCs w:val="24"/>
        </w:rPr>
        <w:t>6</w:t>
      </w:r>
      <w:r w:rsidRPr="00A214B0">
        <w:rPr>
          <w:rFonts w:ascii="Times New Roman" w:hAnsi="Times New Roman" w:cs="Times New Roman"/>
          <w:color w:val="000000" w:themeColor="text1"/>
          <w:sz w:val="24"/>
          <w:szCs w:val="24"/>
        </w:rPr>
        <w:t>)×100%</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50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）评估值的确定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评估值＝重置全价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rPr>
        <w:t>692,000.00</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50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500" w:firstLine="1200"/>
        <w:rPr>
          <w:rFonts w:ascii="Times New Roman" w:eastAsia="宋体"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 xml:space="preserve"> 346,000.00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b/>
          <w:color w:val="000000" w:themeColor="text1"/>
          <w:sz w:val="24"/>
          <w:szCs w:val="24"/>
        </w:rPr>
      </w:pPr>
      <w:r w:rsidRPr="00A214B0">
        <w:rPr>
          <w:rFonts w:ascii="Times New Roman" w:hAnsi="Times New Roman" w:cs="Times New Roman"/>
          <w:color w:val="000000" w:themeColor="text1"/>
          <w:sz w:val="24"/>
        </w:rPr>
        <w:t>案例</w:t>
      </w:r>
      <w:r w:rsidRPr="00A214B0">
        <w:rPr>
          <w:rFonts w:ascii="Times New Roman" w:hAnsi="Times New Roman" w:cs="Times New Roman" w:hint="eastAsia"/>
          <w:color w:val="000000" w:themeColor="text1"/>
          <w:sz w:val="24"/>
        </w:rPr>
        <w:t>2</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1701</w:t>
      </w:r>
      <w:r w:rsidRPr="00A214B0">
        <w:rPr>
          <w:rFonts w:ascii="Times New Roman" w:hAnsi="Times New Roman" w:cs="Times New Roman" w:hint="eastAsia"/>
          <w:color w:val="000000" w:themeColor="text1"/>
          <w:sz w:val="24"/>
        </w:rPr>
        <w:t>储罐</w:t>
      </w:r>
      <w:r w:rsidRPr="00A214B0">
        <w:rPr>
          <w:rFonts w:ascii="Times New Roman" w:hAnsi="Times New Roman" w:cs="Times New Roman"/>
          <w:color w:val="000000" w:themeColor="text1"/>
          <w:sz w:val="24"/>
        </w:rPr>
        <w:t>（机器设备评估明细表序号</w:t>
      </w:r>
      <w:r w:rsidRPr="00A214B0">
        <w:rPr>
          <w:rFonts w:ascii="Times New Roman" w:hAnsi="Times New Roman" w:cs="Times New Roman" w:hint="eastAsia"/>
          <w:color w:val="000000" w:themeColor="text1"/>
          <w:sz w:val="24"/>
        </w:rPr>
        <w:t>722</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设备名称：</w:t>
      </w:r>
      <w:r w:rsidRPr="00A214B0">
        <w:rPr>
          <w:rFonts w:ascii="Times New Roman" w:hAnsi="Times New Roman" w:cs="Times New Roman" w:hint="eastAsia"/>
          <w:color w:val="000000" w:themeColor="text1"/>
          <w:sz w:val="24"/>
        </w:rPr>
        <w:t>1701</w:t>
      </w:r>
      <w:r w:rsidRPr="00A214B0">
        <w:rPr>
          <w:rFonts w:ascii="Times New Roman" w:hAnsi="Times New Roman" w:cs="Times New Roman" w:hint="eastAsia"/>
          <w:color w:val="000000" w:themeColor="text1"/>
          <w:sz w:val="24"/>
        </w:rPr>
        <w:t>储罐</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规格型号：</w:t>
      </w:r>
      <w:r w:rsidRPr="00A214B0">
        <w:rPr>
          <w:rFonts w:ascii="Times New Roman" w:hAnsi="Times New Roman" w:cs="Times New Roman" w:hint="eastAsia"/>
          <w:color w:val="000000" w:themeColor="text1"/>
          <w:sz w:val="24"/>
          <w:szCs w:val="24"/>
        </w:rPr>
        <w:t>13000m</w:t>
      </w:r>
      <w:r w:rsidRPr="00A214B0">
        <w:rPr>
          <w:rFonts w:ascii="Times New Roman" w:hAnsi="Times New Roman" w:cs="Times New Roman" w:hint="eastAsia"/>
          <w:color w:val="000000" w:themeColor="text1"/>
          <w:sz w:val="24"/>
          <w:szCs w:val="24"/>
        </w:rPr>
        <w:t>立方米</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主题材质：</w:t>
      </w:r>
      <w:r w:rsidRPr="00A214B0">
        <w:rPr>
          <w:rFonts w:ascii="Times New Roman" w:hAnsi="Times New Roman" w:cs="Times New Roman" w:hint="eastAsia"/>
          <w:color w:val="000000" w:themeColor="text1"/>
          <w:sz w:val="24"/>
          <w:szCs w:val="24"/>
        </w:rPr>
        <w:t>CS</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数</w:t>
      </w:r>
      <w:r w:rsidRPr="00A214B0">
        <w:rPr>
          <w:rFonts w:ascii="Times New Roman" w:hAnsi="Times New Roman" w:cs="Times New Roman"/>
          <w:color w:val="000000" w:themeColor="text1"/>
          <w:sz w:val="24"/>
          <w:szCs w:val="24"/>
        </w:rPr>
        <w:t xml:space="preserve">    </w:t>
      </w:r>
      <w:r w:rsidRPr="00A214B0">
        <w:rPr>
          <w:rFonts w:ascii="Times New Roman" w:hAnsi="Times New Roman" w:cs="Times New Roman"/>
          <w:color w:val="000000" w:themeColor="text1"/>
          <w:sz w:val="24"/>
          <w:szCs w:val="24"/>
        </w:rPr>
        <w:t>量：</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台</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建设</w:t>
      </w:r>
      <w:r w:rsidRPr="00A214B0">
        <w:rPr>
          <w:rFonts w:ascii="Times New Roman" w:hAnsi="Times New Roman" w:cs="Times New Roman"/>
          <w:color w:val="000000" w:themeColor="text1"/>
          <w:sz w:val="24"/>
          <w:szCs w:val="24"/>
        </w:rPr>
        <w:t>厂家：</w:t>
      </w:r>
      <w:r w:rsidRPr="00A214B0">
        <w:rPr>
          <w:rFonts w:ascii="Times New Roman" w:hAnsi="Times New Roman" w:cs="Times New Roman" w:hint="eastAsia"/>
          <w:color w:val="000000" w:themeColor="text1"/>
          <w:sz w:val="24"/>
          <w:szCs w:val="24"/>
        </w:rPr>
        <w:t>江苏扬安建设有限公司</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启用</w:t>
      </w:r>
      <w:r w:rsidRPr="00A214B0">
        <w:rPr>
          <w:rFonts w:ascii="Times New Roman" w:hAnsi="Times New Roman" w:cs="Times New Roman"/>
          <w:color w:val="000000" w:themeColor="text1"/>
          <w:sz w:val="24"/>
          <w:szCs w:val="24"/>
        </w:rPr>
        <w:t>日期：</w:t>
      </w:r>
      <w:r w:rsidRPr="00A214B0">
        <w:rPr>
          <w:rFonts w:ascii="Times New Roman" w:hAnsi="Times New Roman" w:cs="Times New Roman"/>
          <w:color w:val="000000" w:themeColor="text1"/>
          <w:sz w:val="24"/>
          <w:szCs w:val="24"/>
        </w:rPr>
        <w:t>20</w:t>
      </w:r>
      <w:r w:rsidRPr="00A214B0">
        <w:rPr>
          <w:rFonts w:ascii="Times New Roman" w:hAnsi="Times New Roman" w:cs="Times New Roman" w:hint="eastAsia"/>
          <w:color w:val="000000" w:themeColor="text1"/>
          <w:sz w:val="24"/>
          <w:szCs w:val="24"/>
        </w:rPr>
        <w:t>13</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5</w:t>
      </w:r>
      <w:r w:rsidRPr="00A214B0">
        <w:rPr>
          <w:rFonts w:ascii="Times New Roman" w:hAnsi="Times New Roman" w:cs="Times New Roman"/>
          <w:color w:val="000000" w:themeColor="text1"/>
          <w:sz w:val="24"/>
          <w:szCs w:val="24"/>
        </w:rPr>
        <w:t>月</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数</w:t>
      </w:r>
      <w:r w:rsidRPr="00A214B0">
        <w:rPr>
          <w:rFonts w:ascii="Times New Roman" w:hAnsi="Times New Roman" w:cs="Times New Roman" w:hint="eastAsia"/>
          <w:color w:val="000000" w:themeColor="text1"/>
          <w:sz w:val="24"/>
          <w:szCs w:val="24"/>
        </w:rPr>
        <w:t xml:space="preserve">    </w:t>
      </w:r>
      <w:r w:rsidRPr="00A214B0">
        <w:rPr>
          <w:rFonts w:ascii="Times New Roman" w:hAnsi="Times New Roman" w:cs="Times New Roman" w:hint="eastAsia"/>
          <w:color w:val="000000" w:themeColor="text1"/>
          <w:sz w:val="24"/>
          <w:szCs w:val="24"/>
        </w:rPr>
        <w:t>量：</w:t>
      </w:r>
      <w:r w:rsidRPr="00A214B0">
        <w:rPr>
          <w:rFonts w:ascii="Times New Roman" w:hAnsi="Times New Roman" w:cs="Times New Roman" w:hint="eastAsia"/>
          <w:color w:val="000000" w:themeColor="text1"/>
          <w:sz w:val="24"/>
          <w:szCs w:val="24"/>
        </w:rPr>
        <w:t>1</w:t>
      </w:r>
      <w:r w:rsidRPr="00A214B0">
        <w:rPr>
          <w:rFonts w:ascii="Times New Roman" w:hAnsi="Times New Roman" w:cs="Times New Roman" w:hint="eastAsia"/>
          <w:color w:val="000000" w:themeColor="text1"/>
          <w:sz w:val="24"/>
          <w:szCs w:val="24"/>
        </w:rPr>
        <w:t>台</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帐面原值：</w:t>
      </w:r>
      <w:r w:rsidRPr="00A214B0">
        <w:rPr>
          <w:rFonts w:ascii="Times New Roman" w:hAnsi="Times New Roman" w:cs="Times New Roman" w:hint="eastAsia"/>
          <w:color w:val="000000" w:themeColor="text1"/>
          <w:sz w:val="24"/>
          <w:szCs w:val="24"/>
        </w:rPr>
        <w:t>8,438,366.95</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color w:val="000000" w:themeColor="text1"/>
        </w:rPr>
      </w:pPr>
      <w:r w:rsidRPr="00A214B0">
        <w:rPr>
          <w:rFonts w:ascii="Times New Roman" w:hAnsi="Times New Roman" w:cs="Times New Roman"/>
          <w:color w:val="000000" w:themeColor="text1"/>
          <w:sz w:val="24"/>
          <w:szCs w:val="24"/>
        </w:rPr>
        <w:t>账面净值：</w:t>
      </w:r>
      <w:r w:rsidRPr="00A214B0">
        <w:rPr>
          <w:rFonts w:ascii="Times New Roman" w:hAnsi="Times New Roman" w:cs="Times New Roman" w:hint="eastAsia"/>
          <w:color w:val="000000" w:themeColor="text1"/>
          <w:sz w:val="24"/>
          <w:szCs w:val="24"/>
        </w:rPr>
        <w:t>6,070,713.80</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安装地点：企业位于泰州市高港区永安洲工业园</w:t>
      </w:r>
      <w:r w:rsidRPr="00A214B0">
        <w:rPr>
          <w:rFonts w:ascii="Times New Roman" w:hAnsi="Times New Roman" w:cs="Times New Roman" w:hint="eastAsia"/>
          <w:color w:val="000000" w:themeColor="text1"/>
          <w:sz w:val="24"/>
          <w:szCs w:val="24"/>
        </w:rPr>
        <w:t>厂区</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）设备概况</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V1701</w:t>
      </w:r>
      <w:r w:rsidRPr="00A214B0">
        <w:rPr>
          <w:rFonts w:ascii="Times New Roman" w:hAnsi="Times New Roman" w:cs="Times New Roman" w:hint="eastAsia"/>
          <w:color w:val="000000" w:themeColor="text1"/>
          <w:sz w:val="24"/>
          <w:szCs w:val="24"/>
        </w:rPr>
        <w:t>储罐为常压储罐，储存介质为溶剂油，该储罐由南京医药化工设计研究院有限公司设计，中建工业设备安装有限公司制造安装，竣工日期为</w:t>
      </w:r>
      <w:r w:rsidRPr="00A214B0">
        <w:rPr>
          <w:rFonts w:ascii="Times New Roman" w:hAnsi="Times New Roman" w:cs="Times New Roman" w:hint="eastAsia"/>
          <w:color w:val="000000" w:themeColor="text1"/>
          <w:sz w:val="24"/>
          <w:szCs w:val="24"/>
        </w:rPr>
        <w:t>2012</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11</w:t>
      </w:r>
      <w:r w:rsidRPr="00A214B0">
        <w:rPr>
          <w:rFonts w:ascii="Times New Roman" w:hAnsi="Times New Roman" w:cs="Times New Roman" w:hint="eastAsia"/>
          <w:color w:val="000000" w:themeColor="text1"/>
          <w:sz w:val="24"/>
          <w:szCs w:val="24"/>
        </w:rPr>
        <w:t>月。其主要技术参数如下：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设计压力：</w:t>
      </w:r>
      <w:r w:rsidRPr="00A214B0">
        <w:rPr>
          <w:rFonts w:ascii="Times New Roman" w:hAnsi="Times New Roman" w:cs="Times New Roman" w:hint="eastAsia"/>
          <w:color w:val="000000" w:themeColor="text1"/>
          <w:sz w:val="24"/>
          <w:szCs w:val="24"/>
        </w:rPr>
        <w:t>-490~5880pa</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设计温度：</w:t>
      </w:r>
      <w:r w:rsidRPr="00A214B0">
        <w:rPr>
          <w:rFonts w:ascii="Times New Roman" w:hAnsi="Times New Roman" w:cs="Times New Roman" w:hint="eastAsia"/>
          <w:color w:val="000000" w:themeColor="text1"/>
          <w:sz w:val="24"/>
          <w:szCs w:val="24"/>
        </w:rPr>
        <w:t>5~60</w:t>
      </w:r>
      <w:r w:rsidRPr="00A214B0">
        <w:rPr>
          <w:rFonts w:ascii="Times New Roman" w:hAnsi="Times New Roman" w:cs="Times New Roman" w:hint="eastAsia"/>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规格：</w:t>
      </w:r>
      <w:r w:rsidRPr="00A214B0">
        <w:rPr>
          <w:rFonts w:ascii="Times New Roman" w:hAnsi="Times New Roman" w:cs="Times New Roman" w:hint="eastAsia"/>
          <w:color w:val="000000" w:themeColor="text1"/>
          <w:sz w:val="24"/>
          <w:szCs w:val="24"/>
        </w:rPr>
        <w:t>28750*22850mm</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总高：</w:t>
      </w:r>
      <w:r w:rsidRPr="00A214B0">
        <w:rPr>
          <w:rFonts w:ascii="Times New Roman" w:hAnsi="Times New Roman" w:cs="Times New Roman" w:hint="eastAsia"/>
          <w:color w:val="000000" w:themeColor="text1"/>
          <w:sz w:val="24"/>
          <w:szCs w:val="24"/>
        </w:rPr>
        <w:t>26000mm</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公称容积：</w:t>
      </w:r>
      <w:r w:rsidRPr="00A214B0">
        <w:rPr>
          <w:rFonts w:ascii="Times New Roman" w:hAnsi="Times New Roman" w:cs="Times New Roman" w:hint="eastAsia"/>
          <w:color w:val="000000" w:themeColor="text1"/>
          <w:sz w:val="24"/>
          <w:szCs w:val="24"/>
        </w:rPr>
        <w:t>13000m</w:t>
      </w:r>
      <w:r w:rsidRPr="00A214B0">
        <w:rPr>
          <w:rFonts w:ascii="Times New Roman" w:hAnsi="Times New Roman" w:cs="Times New Roman" w:hint="eastAsia"/>
          <w:color w:val="000000" w:themeColor="text1"/>
          <w:sz w:val="24"/>
          <w:szCs w:val="24"/>
        </w:rPr>
        <w:t>³</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2</w:t>
      </w:r>
      <w:r w:rsidRPr="00A214B0">
        <w:rPr>
          <w:rFonts w:ascii="Times New Roman" w:hAnsi="Times New Roman" w:cs="Times New Roman" w:hint="eastAsia"/>
          <w:color w:val="000000" w:themeColor="text1"/>
          <w:sz w:val="24"/>
          <w:szCs w:val="24"/>
        </w:rPr>
        <w:t>）重置全价的确定</w:t>
      </w:r>
    </w:p>
    <w:p w:rsidR="00D56508" w:rsidRPr="00A214B0" w:rsidRDefault="00F1265B">
      <w:pPr>
        <w:adjustRightInd w:val="0"/>
        <w:snapToGrid w:val="0"/>
        <w:spacing w:line="360" w:lineRule="auto"/>
        <w:ind w:firstLineChars="200" w:firstLine="480"/>
        <w:rPr>
          <w:color w:val="000000" w:themeColor="text1"/>
          <w:sz w:val="24"/>
        </w:rPr>
      </w:pPr>
      <w:r w:rsidRPr="00A214B0">
        <w:rPr>
          <w:rFonts w:ascii="Times New Roman" w:hAnsi="Times New Roman" w:cs="Times New Roman" w:hint="eastAsia"/>
          <w:color w:val="000000" w:themeColor="text1"/>
          <w:sz w:val="24"/>
          <w:szCs w:val="24"/>
        </w:rPr>
        <w:t>以江苏海企化工仓储有限公司提供的由江苏经纬工程投资造价咨询事务所有限公司出具的工程结算书及竣工结算图等资料为基础，</w:t>
      </w:r>
      <w:r w:rsidRPr="00A214B0">
        <w:rPr>
          <w:rFonts w:hint="eastAsia"/>
          <w:color w:val="000000" w:themeColor="text1"/>
          <w:sz w:val="24"/>
        </w:rPr>
        <w:t>分析桩基工程、罐基工程、钢材、附属及安装</w:t>
      </w:r>
      <w:r w:rsidRPr="00A214B0">
        <w:rPr>
          <w:color w:val="000000" w:themeColor="text1"/>
          <w:sz w:val="24"/>
        </w:rPr>
        <w:t>等构成，</w:t>
      </w:r>
      <w:r w:rsidRPr="00A214B0">
        <w:rPr>
          <w:rFonts w:hint="eastAsia"/>
          <w:color w:val="000000" w:themeColor="text1"/>
          <w:sz w:val="24"/>
        </w:rPr>
        <w:t>确定该设备账面价值主要构成如下：</w:t>
      </w:r>
    </w:p>
    <w:tbl>
      <w:tblPr>
        <w:tblStyle w:val="afb"/>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10"/>
        <w:gridCol w:w="1810"/>
        <w:gridCol w:w="1810"/>
        <w:gridCol w:w="1810"/>
      </w:tblGrid>
      <w:tr w:rsidR="00D56508" w:rsidRPr="00A214B0">
        <w:tc>
          <w:tcPr>
            <w:tcW w:w="1809" w:type="dxa"/>
          </w:tcPr>
          <w:p w:rsidR="00D56508" w:rsidRPr="00A214B0" w:rsidRDefault="00F1265B">
            <w:pPr>
              <w:widowControl/>
              <w:jc w:val="center"/>
              <w:textAlignment w:val="center"/>
              <w:rPr>
                <w:rFonts w:ascii="Arial Narrow" w:eastAsia="Arial Narrow" w:hAnsi="Arial Narrow" w:cs="Arial Narrow"/>
                <w:b/>
                <w:bCs/>
                <w:color w:val="000000" w:themeColor="text1"/>
                <w:kern w:val="0"/>
                <w:sz w:val="18"/>
                <w:szCs w:val="18"/>
                <w:lang w:bidi="ar"/>
              </w:rPr>
            </w:pPr>
            <w:r w:rsidRPr="00A214B0">
              <w:rPr>
                <w:rFonts w:ascii="Arial Narrow" w:eastAsia="Arial Narrow" w:hAnsi="Arial Narrow" w:cs="Arial Narrow" w:hint="eastAsia"/>
                <w:b/>
                <w:bCs/>
                <w:color w:val="000000" w:themeColor="text1"/>
                <w:kern w:val="0"/>
                <w:sz w:val="18"/>
                <w:szCs w:val="18"/>
                <w:lang w:bidi="ar"/>
              </w:rPr>
              <w:t>桩基</w:t>
            </w:r>
          </w:p>
        </w:tc>
        <w:tc>
          <w:tcPr>
            <w:tcW w:w="1810" w:type="dxa"/>
          </w:tcPr>
          <w:p w:rsidR="00D56508" w:rsidRPr="00A214B0" w:rsidRDefault="00F1265B">
            <w:pPr>
              <w:widowControl/>
              <w:jc w:val="center"/>
              <w:textAlignment w:val="center"/>
              <w:rPr>
                <w:rFonts w:ascii="Arial Narrow" w:eastAsia="Arial Narrow" w:hAnsi="Arial Narrow" w:cs="Arial Narrow"/>
                <w:b/>
                <w:bCs/>
                <w:color w:val="000000" w:themeColor="text1"/>
                <w:kern w:val="0"/>
                <w:sz w:val="18"/>
                <w:szCs w:val="18"/>
                <w:lang w:bidi="ar"/>
              </w:rPr>
            </w:pPr>
            <w:r w:rsidRPr="00A214B0">
              <w:rPr>
                <w:rFonts w:ascii="Arial Narrow" w:eastAsia="Arial Narrow" w:hAnsi="Arial Narrow" w:cs="Arial Narrow" w:hint="eastAsia"/>
                <w:b/>
                <w:bCs/>
                <w:color w:val="000000" w:themeColor="text1"/>
                <w:kern w:val="0"/>
                <w:sz w:val="18"/>
                <w:szCs w:val="18"/>
                <w:lang w:bidi="ar"/>
              </w:rPr>
              <w:t>钢材</w:t>
            </w:r>
          </w:p>
        </w:tc>
        <w:tc>
          <w:tcPr>
            <w:tcW w:w="1810" w:type="dxa"/>
          </w:tcPr>
          <w:p w:rsidR="00D56508" w:rsidRPr="00A214B0" w:rsidRDefault="00F1265B">
            <w:pPr>
              <w:widowControl/>
              <w:jc w:val="center"/>
              <w:textAlignment w:val="center"/>
              <w:rPr>
                <w:rFonts w:ascii="Arial Narrow" w:eastAsia="Arial Narrow" w:hAnsi="Arial Narrow" w:cs="Arial Narrow"/>
                <w:b/>
                <w:bCs/>
                <w:color w:val="000000" w:themeColor="text1"/>
                <w:kern w:val="0"/>
                <w:sz w:val="18"/>
                <w:szCs w:val="18"/>
                <w:lang w:bidi="ar"/>
              </w:rPr>
            </w:pPr>
            <w:r w:rsidRPr="00A214B0">
              <w:rPr>
                <w:rFonts w:ascii="Arial Narrow" w:eastAsia="Arial Narrow" w:hAnsi="Arial Narrow" w:cs="Arial Narrow" w:hint="eastAsia"/>
                <w:b/>
                <w:bCs/>
                <w:color w:val="000000" w:themeColor="text1"/>
                <w:kern w:val="0"/>
                <w:sz w:val="18"/>
                <w:szCs w:val="18"/>
                <w:lang w:bidi="ar"/>
              </w:rPr>
              <w:t>附属及安装</w:t>
            </w:r>
          </w:p>
        </w:tc>
        <w:tc>
          <w:tcPr>
            <w:tcW w:w="1810" w:type="dxa"/>
          </w:tcPr>
          <w:p w:rsidR="00D56508" w:rsidRPr="00A214B0" w:rsidRDefault="00F1265B">
            <w:pPr>
              <w:widowControl/>
              <w:jc w:val="center"/>
              <w:textAlignment w:val="center"/>
              <w:rPr>
                <w:rFonts w:ascii="Arial Narrow" w:eastAsia="Arial Narrow" w:hAnsi="Arial Narrow" w:cs="Arial Narrow"/>
                <w:b/>
                <w:bCs/>
                <w:color w:val="000000" w:themeColor="text1"/>
                <w:kern w:val="0"/>
                <w:sz w:val="18"/>
                <w:szCs w:val="18"/>
                <w:lang w:bidi="ar"/>
              </w:rPr>
            </w:pPr>
            <w:r w:rsidRPr="00A214B0">
              <w:rPr>
                <w:rFonts w:ascii="Arial Narrow" w:eastAsia="Arial Narrow" w:hAnsi="Arial Narrow" w:cs="Arial Narrow" w:hint="eastAsia"/>
                <w:b/>
                <w:bCs/>
                <w:color w:val="000000" w:themeColor="text1"/>
                <w:kern w:val="0"/>
                <w:sz w:val="18"/>
                <w:szCs w:val="18"/>
                <w:lang w:bidi="ar"/>
              </w:rPr>
              <w:t>分摊费用</w:t>
            </w:r>
          </w:p>
        </w:tc>
        <w:tc>
          <w:tcPr>
            <w:tcW w:w="1810" w:type="dxa"/>
          </w:tcPr>
          <w:p w:rsidR="00D56508" w:rsidRPr="00A214B0" w:rsidRDefault="00F1265B">
            <w:pPr>
              <w:widowControl/>
              <w:jc w:val="center"/>
              <w:textAlignment w:val="center"/>
              <w:rPr>
                <w:rFonts w:ascii="Arial Narrow" w:eastAsia="Arial Narrow" w:hAnsi="Arial Narrow" w:cs="Arial Narrow"/>
                <w:b/>
                <w:bCs/>
                <w:color w:val="000000" w:themeColor="text1"/>
                <w:kern w:val="0"/>
                <w:sz w:val="18"/>
                <w:szCs w:val="18"/>
                <w:lang w:bidi="ar"/>
              </w:rPr>
            </w:pPr>
            <w:r w:rsidRPr="00A214B0">
              <w:rPr>
                <w:rFonts w:ascii="Arial Narrow" w:eastAsia="Arial Narrow" w:hAnsi="Arial Narrow" w:cs="Arial Narrow" w:hint="eastAsia"/>
                <w:b/>
                <w:bCs/>
                <w:color w:val="000000" w:themeColor="text1"/>
                <w:kern w:val="0"/>
                <w:sz w:val="18"/>
                <w:szCs w:val="18"/>
                <w:lang w:bidi="ar"/>
              </w:rPr>
              <w:t>合计</w:t>
            </w:r>
          </w:p>
        </w:tc>
      </w:tr>
      <w:tr w:rsidR="00D56508" w:rsidRPr="00A214B0">
        <w:tc>
          <w:tcPr>
            <w:tcW w:w="1809"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2,424,338.85 </w:t>
            </w:r>
          </w:p>
        </w:tc>
        <w:tc>
          <w:tcPr>
            <w:tcW w:w="1810"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3,353,347.10 </w:t>
            </w:r>
          </w:p>
        </w:tc>
        <w:tc>
          <w:tcPr>
            <w:tcW w:w="1810"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1,982,591.07 </w:t>
            </w:r>
          </w:p>
        </w:tc>
        <w:tc>
          <w:tcPr>
            <w:tcW w:w="1810"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678,089.93 </w:t>
            </w:r>
          </w:p>
        </w:tc>
        <w:tc>
          <w:tcPr>
            <w:tcW w:w="1810"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8,438,366.95 </w:t>
            </w:r>
          </w:p>
        </w:tc>
      </w:tr>
    </w:tbl>
    <w:p w:rsidR="00D56508" w:rsidRPr="00A214B0" w:rsidRDefault="00F1265B">
      <w:pPr>
        <w:adjustRightInd w:val="0"/>
        <w:snapToGrid w:val="0"/>
        <w:spacing w:line="360" w:lineRule="auto"/>
        <w:ind w:firstLineChars="200" w:firstLine="480"/>
        <w:rPr>
          <w:color w:val="000000" w:themeColor="text1"/>
          <w:sz w:val="24"/>
        </w:rPr>
      </w:pPr>
      <w:r w:rsidRPr="00A214B0">
        <w:rPr>
          <w:rFonts w:hint="eastAsia"/>
          <w:color w:val="000000" w:themeColor="text1"/>
          <w:sz w:val="24"/>
        </w:rPr>
        <w:t>根据相关价格指数</w:t>
      </w:r>
      <w:r w:rsidRPr="00A214B0">
        <w:rPr>
          <w:color w:val="000000" w:themeColor="text1"/>
          <w:sz w:val="24"/>
        </w:rPr>
        <w:t>，</w:t>
      </w:r>
      <w:r w:rsidRPr="00A214B0">
        <w:rPr>
          <w:rFonts w:hint="eastAsia"/>
          <w:color w:val="000000" w:themeColor="text1"/>
          <w:sz w:val="24"/>
        </w:rPr>
        <w:t>调整材料价差和人工、机械，得到分部分项工程费用如下：</w:t>
      </w:r>
    </w:p>
    <w:tbl>
      <w:tblPr>
        <w:tblStyle w:val="afb"/>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62"/>
        <w:gridCol w:w="2262"/>
        <w:gridCol w:w="2263"/>
      </w:tblGrid>
      <w:tr w:rsidR="00D56508" w:rsidRPr="00A214B0">
        <w:tc>
          <w:tcPr>
            <w:tcW w:w="2262" w:type="dxa"/>
          </w:tcPr>
          <w:p w:rsidR="00D56508" w:rsidRPr="00A214B0" w:rsidRDefault="00F1265B">
            <w:pPr>
              <w:widowControl/>
              <w:jc w:val="center"/>
              <w:textAlignment w:val="center"/>
              <w:rPr>
                <w:color w:val="000000" w:themeColor="text1"/>
                <w:sz w:val="24"/>
              </w:rPr>
            </w:pPr>
            <w:r w:rsidRPr="00A214B0">
              <w:rPr>
                <w:rFonts w:ascii="Arial Narrow" w:eastAsia="Arial Narrow" w:hAnsi="Arial Narrow" w:cs="Arial Narrow" w:hint="eastAsia"/>
                <w:b/>
                <w:bCs/>
                <w:color w:val="000000" w:themeColor="text1"/>
                <w:kern w:val="0"/>
                <w:sz w:val="18"/>
                <w:szCs w:val="18"/>
                <w:lang w:bidi="ar"/>
              </w:rPr>
              <w:t>桩基</w:t>
            </w:r>
          </w:p>
        </w:tc>
        <w:tc>
          <w:tcPr>
            <w:tcW w:w="2262" w:type="dxa"/>
          </w:tcPr>
          <w:p w:rsidR="00D56508" w:rsidRPr="00A214B0" w:rsidRDefault="00F1265B">
            <w:pPr>
              <w:widowControl/>
              <w:jc w:val="center"/>
              <w:textAlignment w:val="center"/>
              <w:rPr>
                <w:color w:val="000000" w:themeColor="text1"/>
                <w:sz w:val="24"/>
              </w:rPr>
            </w:pPr>
            <w:r w:rsidRPr="00A214B0">
              <w:rPr>
                <w:rFonts w:ascii="Arial Narrow" w:eastAsia="Arial Narrow" w:hAnsi="Arial Narrow" w:cs="Arial Narrow" w:hint="eastAsia"/>
                <w:b/>
                <w:bCs/>
                <w:color w:val="000000" w:themeColor="text1"/>
                <w:kern w:val="0"/>
                <w:sz w:val="18"/>
                <w:szCs w:val="18"/>
                <w:lang w:bidi="ar"/>
              </w:rPr>
              <w:t>钢材</w:t>
            </w:r>
          </w:p>
        </w:tc>
        <w:tc>
          <w:tcPr>
            <w:tcW w:w="2262" w:type="dxa"/>
          </w:tcPr>
          <w:p w:rsidR="00D56508" w:rsidRPr="00A214B0" w:rsidRDefault="00F1265B">
            <w:pPr>
              <w:widowControl/>
              <w:jc w:val="center"/>
              <w:textAlignment w:val="center"/>
              <w:rPr>
                <w:color w:val="000000" w:themeColor="text1"/>
                <w:sz w:val="24"/>
              </w:rPr>
            </w:pPr>
            <w:r w:rsidRPr="00A214B0">
              <w:rPr>
                <w:rFonts w:ascii="Arial Narrow" w:eastAsia="Arial Narrow" w:hAnsi="Arial Narrow" w:cs="Arial Narrow" w:hint="eastAsia"/>
                <w:b/>
                <w:bCs/>
                <w:color w:val="000000" w:themeColor="text1"/>
                <w:kern w:val="0"/>
                <w:sz w:val="18"/>
                <w:szCs w:val="18"/>
                <w:lang w:bidi="ar"/>
              </w:rPr>
              <w:t>附属及安装</w:t>
            </w:r>
          </w:p>
        </w:tc>
        <w:tc>
          <w:tcPr>
            <w:tcW w:w="2263" w:type="dxa"/>
          </w:tcPr>
          <w:p w:rsidR="00D56508" w:rsidRPr="00A214B0" w:rsidRDefault="00F1265B">
            <w:pPr>
              <w:widowControl/>
              <w:jc w:val="center"/>
              <w:textAlignment w:val="center"/>
              <w:rPr>
                <w:rFonts w:ascii="Arial Narrow" w:eastAsia="Arial Narrow" w:hAnsi="Arial Narrow" w:cs="Arial Narrow"/>
                <w:b/>
                <w:bCs/>
                <w:color w:val="000000" w:themeColor="text1"/>
                <w:kern w:val="0"/>
                <w:sz w:val="18"/>
                <w:szCs w:val="18"/>
                <w:lang w:bidi="ar"/>
              </w:rPr>
            </w:pPr>
            <w:r w:rsidRPr="00A214B0">
              <w:rPr>
                <w:rFonts w:ascii="Arial Narrow" w:eastAsia="Arial Narrow" w:hAnsi="Arial Narrow" w:cs="Arial Narrow" w:hint="eastAsia"/>
                <w:b/>
                <w:bCs/>
                <w:color w:val="000000" w:themeColor="text1"/>
                <w:kern w:val="0"/>
                <w:sz w:val="18"/>
                <w:szCs w:val="18"/>
                <w:lang w:bidi="ar"/>
              </w:rPr>
              <w:t>分部分项工程费</w:t>
            </w:r>
          </w:p>
        </w:tc>
      </w:tr>
      <w:tr w:rsidR="00D56508" w:rsidRPr="00A214B0">
        <w:tc>
          <w:tcPr>
            <w:tcW w:w="2262"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2,489,730.61 </w:t>
            </w:r>
          </w:p>
        </w:tc>
        <w:tc>
          <w:tcPr>
            <w:tcW w:w="2262"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2,933,257.46 </w:t>
            </w:r>
          </w:p>
        </w:tc>
        <w:tc>
          <w:tcPr>
            <w:tcW w:w="2262"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2,092,083.05 </w:t>
            </w:r>
          </w:p>
        </w:tc>
        <w:tc>
          <w:tcPr>
            <w:tcW w:w="2263" w:type="dxa"/>
            <w:vAlign w:val="center"/>
          </w:tcPr>
          <w:p w:rsidR="00D56508" w:rsidRPr="00A214B0" w:rsidRDefault="00F1265B">
            <w:pPr>
              <w:widowControl/>
              <w:jc w:val="right"/>
              <w:textAlignment w:val="center"/>
              <w:rPr>
                <w:color w:val="000000" w:themeColor="text1"/>
                <w:sz w:val="24"/>
              </w:rPr>
            </w:pPr>
            <w:r w:rsidRPr="00A214B0">
              <w:rPr>
                <w:rFonts w:ascii="Arial Narrow" w:eastAsia="Arial Narrow" w:hAnsi="Arial Narrow" w:cs="Arial Narrow"/>
                <w:color w:val="000000" w:themeColor="text1"/>
                <w:kern w:val="0"/>
                <w:sz w:val="18"/>
                <w:szCs w:val="18"/>
                <w:lang w:bidi="ar"/>
              </w:rPr>
              <w:t xml:space="preserve"> 7,515,071.12 </w:t>
            </w:r>
          </w:p>
        </w:tc>
      </w:tr>
    </w:tbl>
    <w:p w:rsidR="00D56508" w:rsidRPr="00A214B0" w:rsidRDefault="00D56508">
      <w:pPr>
        <w:adjustRightInd w:val="0"/>
        <w:snapToGrid w:val="0"/>
        <w:spacing w:line="360" w:lineRule="auto"/>
        <w:ind w:firstLineChars="200" w:firstLine="480"/>
        <w:rPr>
          <w:color w:val="000000" w:themeColor="text1"/>
          <w:sz w:val="24"/>
        </w:rPr>
      </w:pP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hint="eastAsia"/>
          <w:color w:val="000000" w:themeColor="text1"/>
          <w:sz w:val="24"/>
        </w:rPr>
        <w:t>在此基础上考虑一定比例的措施项目费、前期费用及资金成本，计算得出该储罐的重置全价，计算计算过程如下：</w:t>
      </w:r>
    </w:p>
    <w:tbl>
      <w:tblPr>
        <w:tblW w:w="8834" w:type="dxa"/>
        <w:tblLayout w:type="fixed"/>
        <w:tblLook w:val="04A0" w:firstRow="1" w:lastRow="0" w:firstColumn="1" w:lastColumn="0" w:noHBand="0" w:noVBand="1"/>
      </w:tblPr>
      <w:tblGrid>
        <w:gridCol w:w="578"/>
        <w:gridCol w:w="2324"/>
        <w:gridCol w:w="578"/>
        <w:gridCol w:w="2925"/>
        <w:gridCol w:w="984"/>
        <w:gridCol w:w="1445"/>
      </w:tblGrid>
      <w:tr w:rsidR="00D56508" w:rsidRPr="00A214B0">
        <w:trPr>
          <w:trHeight w:val="500"/>
          <w:tblHeader/>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序号</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项目名称</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单位</w:t>
            </w:r>
          </w:p>
        </w:tc>
        <w:tc>
          <w:tcPr>
            <w:tcW w:w="29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计算公式</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费率</w:t>
            </w:r>
            <w:r w:rsidRPr="00A214B0">
              <w:rPr>
                <w:rFonts w:ascii="Times New Roman" w:hAnsi="Times New Roman" w:cs="Times New Roman"/>
                <w:b/>
                <w:bCs/>
                <w:color w:val="000000" w:themeColor="text1"/>
                <w:sz w:val="18"/>
                <w:szCs w:val="18"/>
              </w:rPr>
              <w:t>(%)</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小计</w:t>
            </w:r>
          </w:p>
        </w:tc>
      </w:tr>
      <w:tr w:rsidR="00D56508" w:rsidRPr="00A214B0">
        <w:trPr>
          <w:trHeight w:val="500"/>
          <w:tblHeader/>
        </w:trPr>
        <w:tc>
          <w:tcPr>
            <w:tcW w:w="578"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2925"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b/>
                <w:bCs/>
                <w:color w:val="000000" w:themeColor="text1"/>
                <w:sz w:val="18"/>
                <w:szCs w:val="18"/>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jc w:val="right"/>
              <w:rPr>
                <w:rFonts w:ascii="Times New Roman" w:hAnsi="Times New Roman" w:cs="Times New Roman"/>
                <w:b/>
                <w:bCs/>
                <w:color w:val="000000" w:themeColor="text1"/>
                <w:sz w:val="18"/>
                <w:szCs w:val="18"/>
              </w:rPr>
            </w:pP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一</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建安工程造价</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 xml:space="preserve">　</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 xml:space="preserve">　</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D56508">
            <w:pPr>
              <w:jc w:val="right"/>
              <w:rPr>
                <w:rFonts w:ascii="Times New Roman" w:hAnsi="Times New Roman" w:cs="Times New Roman"/>
                <w:b/>
                <w:bCs/>
                <w:color w:val="000000" w:themeColor="text1"/>
                <w:sz w:val="18"/>
                <w:szCs w:val="18"/>
              </w:rPr>
            </w:pP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分部分项工程</w:t>
            </w:r>
            <w:r w:rsidRPr="00A214B0">
              <w:rPr>
                <w:rFonts w:ascii="Times New Roman" w:hAnsi="Times New Roman" w:cs="Times New Roman" w:hint="eastAsia"/>
                <w:color w:val="000000" w:themeColor="text1"/>
                <w:sz w:val="18"/>
                <w:szCs w:val="18"/>
              </w:rPr>
              <w:t>费</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7,515,071.12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措施项目费用</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r w:rsidRPr="00A214B0">
              <w:rPr>
                <w:rFonts w:ascii="Times New Roman" w:hAnsi="Times New Roman" w:cs="Times New Roman"/>
                <w:color w:val="000000" w:themeColor="text1"/>
                <w:sz w:val="18"/>
                <w:szCs w:val="18"/>
              </w:rPr>
              <w:t>2.1+2.2+2.3+2.4</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right"/>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338,178.20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2.1</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安全文明施工措施费</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 xml:space="preserve">费率　</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1.50%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112,726.07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2.2</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临时设施费</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费率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1.00%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75,150.71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2.3</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专项费用</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费率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0.50%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37,575.36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2.4</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ind w:firstLineChars="200" w:firstLine="360"/>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其他措施项目</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　</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r w:rsidRPr="00A214B0">
              <w:rPr>
                <w:rFonts w:ascii="Times New Roman" w:hAnsi="Times New Roman" w:cs="Times New Roman"/>
                <w:color w:val="000000" w:themeColor="text1"/>
                <w:sz w:val="18"/>
                <w:szCs w:val="18"/>
              </w:rPr>
              <w:t>费率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1.50%</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112,726.07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3</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建筑安装工程造价</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不含税</w:t>
            </w:r>
            <w:r w:rsidRPr="00A214B0">
              <w:rPr>
                <w:rFonts w:ascii="Times New Roman" w:hAnsi="Times New Roman" w:cs="Times New Roman"/>
                <w:color w:val="000000" w:themeColor="text1"/>
                <w:sz w:val="18"/>
                <w:szCs w:val="18"/>
              </w:rPr>
              <w:t>)</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(1)+(2)</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textAlignment w:val="center"/>
              <w:rPr>
                <w:rFonts w:ascii="Times New Roman" w:eastAsia="Arial Narrow" w:hAnsi="Times New Roman" w:cs="Times New Roman"/>
                <w:color w:val="000000" w:themeColor="text1"/>
                <w:kern w:val="0"/>
                <w:sz w:val="18"/>
                <w:szCs w:val="18"/>
                <w:lang w:bidi="ar"/>
              </w:rPr>
            </w:pP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b/>
                <w:bCs/>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7,853,249.32 </w:t>
            </w:r>
          </w:p>
        </w:tc>
      </w:tr>
      <w:tr w:rsidR="00D56508" w:rsidRPr="00A214B0">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4</w:t>
            </w:r>
          </w:p>
        </w:tc>
        <w:tc>
          <w:tcPr>
            <w:tcW w:w="2324" w:type="dxa"/>
            <w:tcBorders>
              <w:top w:val="nil"/>
              <w:left w:val="nil"/>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税金（增值税）</w:t>
            </w:r>
          </w:p>
        </w:tc>
        <w:tc>
          <w:tcPr>
            <w:tcW w:w="578"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nil"/>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r w:rsidRPr="00A214B0">
              <w:rPr>
                <w:rFonts w:ascii="Times New Roman" w:hAnsi="Times New Roman" w:cs="Times New Roman"/>
                <w:color w:val="000000" w:themeColor="text1"/>
                <w:sz w:val="18"/>
                <w:szCs w:val="18"/>
              </w:rPr>
              <w:t>税率</w:t>
            </w:r>
          </w:p>
        </w:tc>
        <w:tc>
          <w:tcPr>
            <w:tcW w:w="9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9%</w:t>
            </w:r>
          </w:p>
        </w:tc>
        <w:tc>
          <w:tcPr>
            <w:tcW w:w="1445"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b/>
                <w:bCs/>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706,792.44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5</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建筑安装工程造价</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含税</w:t>
            </w:r>
            <w:r w:rsidRPr="00A214B0">
              <w:rPr>
                <w:rFonts w:ascii="Times New Roman" w:hAnsi="Times New Roman" w:cs="Times New Roman"/>
                <w:color w:val="000000" w:themeColor="text1"/>
                <w:sz w:val="18"/>
                <w:szCs w:val="18"/>
              </w:rPr>
              <w:t>)</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3+4</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b/>
                <w:bCs/>
                <w:color w:val="000000" w:themeColor="text1"/>
                <w:sz w:val="18"/>
                <w:szCs w:val="18"/>
              </w:rPr>
            </w:pPr>
            <w:r w:rsidRPr="00A214B0">
              <w:rPr>
                <w:rFonts w:ascii="Arial Narrow" w:eastAsia="Arial Narrow" w:hAnsi="Arial Narrow" w:cs="Arial Narrow"/>
                <w:color w:val="000000" w:themeColor="text1"/>
                <w:kern w:val="0"/>
                <w:sz w:val="18"/>
                <w:szCs w:val="18"/>
                <w:lang w:bidi="ar"/>
              </w:rPr>
              <w:t xml:space="preserve"> 8,560,041.76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6</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前期费用</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r w:rsidRPr="00A214B0">
              <w:rPr>
                <w:rFonts w:ascii="Times New Roman" w:hAnsi="Times New Roman" w:cs="Times New Roman"/>
                <w:color w:val="000000" w:themeColor="text1"/>
                <w:sz w:val="18"/>
                <w:szCs w:val="18"/>
              </w:rPr>
              <w:t>费率</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508" w:rsidRPr="00A214B0" w:rsidRDefault="00F1265B">
            <w:pPr>
              <w:widowControl/>
              <w:jc w:val="right"/>
              <w:textAlignment w:val="bottom"/>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6.543%</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Arial Narrow" w:eastAsia="Arial Narrow" w:hAnsi="Arial Narrow" w:cs="Arial Narrow"/>
                <w:color w:val="000000" w:themeColor="text1"/>
                <w:kern w:val="0"/>
                <w:sz w:val="18"/>
                <w:szCs w:val="18"/>
                <w:lang w:bidi="ar"/>
              </w:rPr>
              <w:t xml:space="preserve"> 560,083.53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7</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前期费中可抵扣增值税</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r w:rsidRPr="00A214B0">
              <w:rPr>
                <w:rFonts w:ascii="Times New Roman" w:hAnsi="Times New Roman" w:cs="Times New Roman"/>
                <w:color w:val="000000" w:themeColor="text1"/>
                <w:sz w:val="18"/>
                <w:szCs w:val="18"/>
              </w:rPr>
              <w:t>可取得专票比例</w:t>
            </w:r>
            <w:r w:rsidRPr="00A214B0">
              <w:rPr>
                <w:rFonts w:ascii="Times New Roman" w:hAnsi="Times New Roman" w:cs="Times New Roman"/>
                <w:color w:val="000000" w:themeColor="text1"/>
                <w:sz w:val="18"/>
                <w:szCs w:val="18"/>
              </w:rPr>
              <w:t>×0.06/1.06</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right"/>
              <w:textAlignment w:val="center"/>
              <w:rPr>
                <w:rFonts w:ascii="Times New Roman" w:eastAsia="Arial Narrow" w:hAnsi="Times New Roman" w:cs="Times New Roman"/>
                <w:color w:val="000000" w:themeColor="text1"/>
                <w:kern w:val="0"/>
                <w:sz w:val="18"/>
                <w:szCs w:val="18"/>
                <w:lang w:bidi="ar"/>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Arial Narrow" w:eastAsia="Arial Narrow" w:hAnsi="Arial Narrow" w:cs="Arial Narrow"/>
                <w:color w:val="000000" w:themeColor="text1"/>
                <w:kern w:val="0"/>
                <w:sz w:val="18"/>
                <w:szCs w:val="18"/>
                <w:lang w:bidi="ar"/>
              </w:rPr>
              <w:t xml:space="preserve"> 26,469.91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8</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建设期利息</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元</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5+6</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×4.35%×1×0.5</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right"/>
              <w:textAlignment w:val="center"/>
              <w:rPr>
                <w:rFonts w:ascii="Times New Roman" w:eastAsia="Arial Narrow" w:hAnsi="Times New Roman" w:cs="Times New Roman"/>
                <w:color w:val="000000" w:themeColor="text1"/>
                <w:kern w:val="0"/>
                <w:sz w:val="18"/>
                <w:szCs w:val="18"/>
                <w:lang w:bidi="ar"/>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Arial Narrow" w:eastAsia="Arial Narrow" w:hAnsi="Arial Narrow" w:cs="Arial Narrow"/>
                <w:color w:val="000000" w:themeColor="text1"/>
                <w:kern w:val="0"/>
                <w:sz w:val="18"/>
                <w:szCs w:val="18"/>
                <w:lang w:bidi="ar"/>
              </w:rPr>
              <w:t xml:space="preserve"> 198,362.73 </w:t>
            </w:r>
          </w:p>
        </w:tc>
      </w:tr>
      <w:tr w:rsidR="00D56508" w:rsidRPr="00A214B0">
        <w:trPr>
          <w:trHeight w:val="27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9</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rPr>
                <w:rFonts w:ascii="Times New Roman" w:hAnsi="Times New Roman" w:cs="Times New Roman"/>
                <w:color w:val="000000" w:themeColor="text1"/>
                <w:sz w:val="18"/>
                <w:szCs w:val="18"/>
              </w:rPr>
            </w:pPr>
            <w:r w:rsidRPr="00A214B0">
              <w:rPr>
                <w:rFonts w:ascii="Times New Roman" w:hAnsi="Times New Roman" w:cs="Times New Roman" w:hint="eastAsia"/>
                <w:color w:val="000000" w:themeColor="text1"/>
                <w:sz w:val="18"/>
                <w:szCs w:val="18"/>
              </w:rPr>
              <w:t>重置全价（取整）</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right"/>
              <w:textAlignment w:val="center"/>
              <w:rPr>
                <w:rFonts w:ascii="Times New Roman" w:eastAsia="Arial Narrow" w:hAnsi="Times New Roman" w:cs="Times New Roman"/>
                <w:color w:val="000000" w:themeColor="text1"/>
                <w:kern w:val="0"/>
                <w:sz w:val="18"/>
                <w:szCs w:val="18"/>
                <w:lang w:bidi="ar"/>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eastAsia="Arial Narrow" w:hAnsi="Times New Roman" w:cs="Times New Roman"/>
                <w:color w:val="000000" w:themeColor="text1"/>
                <w:kern w:val="0"/>
                <w:sz w:val="18"/>
                <w:szCs w:val="18"/>
                <w:lang w:bidi="ar"/>
              </w:rPr>
            </w:pPr>
            <w:r w:rsidRPr="00A214B0">
              <w:rPr>
                <w:rFonts w:ascii="Arial Narrow" w:eastAsia="Arial Narrow" w:hAnsi="Arial Narrow" w:cs="Arial Narrow"/>
                <w:color w:val="000000" w:themeColor="text1"/>
                <w:kern w:val="0"/>
                <w:sz w:val="18"/>
                <w:szCs w:val="18"/>
                <w:lang w:bidi="ar"/>
              </w:rPr>
              <w:t xml:space="preserve"> 8,585,000.00 </w:t>
            </w:r>
          </w:p>
        </w:tc>
      </w:tr>
    </w:tbl>
    <w:p w:rsidR="00D56508" w:rsidRPr="00A214B0" w:rsidRDefault="00D56508">
      <w:pPr>
        <w:adjustRightInd w:val="0"/>
        <w:snapToGrid w:val="0"/>
        <w:spacing w:line="360" w:lineRule="auto"/>
        <w:ind w:firstLineChars="200" w:firstLine="480"/>
        <w:rPr>
          <w:rFonts w:ascii="Times New Roman" w:hAnsi="Times New Roman" w:cs="Times New Roman"/>
          <w:color w:val="000000" w:themeColor="text1"/>
          <w:sz w:val="24"/>
        </w:rPr>
      </w:pP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3</w:t>
      </w:r>
      <w:r w:rsidRPr="00A214B0">
        <w:rPr>
          <w:rFonts w:ascii="Times New Roman" w:hAnsi="Times New Roman" w:cs="Times New Roman"/>
          <w:color w:val="000000" w:themeColor="text1"/>
          <w:sz w:val="24"/>
        </w:rPr>
        <w:t>）成新率的确定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rPr>
        <w:t>该</w:t>
      </w:r>
      <w:r w:rsidRPr="00A214B0">
        <w:rPr>
          <w:rFonts w:ascii="Times New Roman" w:hAnsi="Times New Roman" w:cs="Times New Roman" w:hint="eastAsia"/>
          <w:color w:val="000000" w:themeColor="text1"/>
          <w:sz w:val="24"/>
          <w:szCs w:val="24"/>
        </w:rPr>
        <w:t>立式储罐</w:t>
      </w:r>
      <w:r w:rsidRPr="00A214B0">
        <w:rPr>
          <w:rFonts w:ascii="Times New Roman" w:hAnsi="Times New Roman" w:cs="Times New Roman"/>
          <w:color w:val="000000" w:themeColor="text1"/>
          <w:sz w:val="24"/>
        </w:rPr>
        <w:t>于</w:t>
      </w:r>
      <w:r w:rsidRPr="00A214B0">
        <w:rPr>
          <w:rFonts w:ascii="Times New Roman" w:hAnsi="Times New Roman" w:cs="Times New Roman"/>
          <w:color w:val="000000" w:themeColor="text1"/>
          <w:sz w:val="24"/>
          <w:szCs w:val="24"/>
        </w:rPr>
        <w:t>20</w:t>
      </w:r>
      <w:r w:rsidRPr="00A214B0">
        <w:rPr>
          <w:rFonts w:ascii="Times New Roman" w:hAnsi="Times New Roman" w:cs="Times New Roman" w:hint="eastAsia"/>
          <w:color w:val="000000" w:themeColor="text1"/>
          <w:sz w:val="24"/>
          <w:szCs w:val="24"/>
        </w:rPr>
        <w:t>13</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5</w:t>
      </w:r>
      <w:r w:rsidRPr="00A214B0">
        <w:rPr>
          <w:rFonts w:ascii="Times New Roman" w:hAnsi="Times New Roman" w:cs="Times New Roman"/>
          <w:color w:val="000000" w:themeColor="text1"/>
          <w:sz w:val="24"/>
          <w:szCs w:val="24"/>
        </w:rPr>
        <w:t>月</w:t>
      </w:r>
      <w:r w:rsidRPr="00A214B0">
        <w:rPr>
          <w:rFonts w:ascii="Times New Roman" w:hAnsi="Times New Roman" w:cs="Times New Roman" w:hint="eastAsia"/>
          <w:color w:val="000000" w:themeColor="text1"/>
          <w:sz w:val="24"/>
        </w:rPr>
        <w:t>构建完成并投入使用</w:t>
      </w:r>
      <w:r w:rsidRPr="00A214B0">
        <w:rPr>
          <w:rFonts w:ascii="Times New Roman" w:hAnsi="Times New Roman" w:cs="Times New Roman"/>
          <w:color w:val="000000" w:themeColor="text1"/>
          <w:sz w:val="24"/>
        </w:rPr>
        <w:t>，至评估基准日已经</w:t>
      </w:r>
      <w:r w:rsidRPr="00A214B0">
        <w:rPr>
          <w:rFonts w:ascii="Times New Roman" w:hAnsi="Times New Roman" w:cs="Times New Roman" w:hint="eastAsia"/>
          <w:color w:val="000000" w:themeColor="text1"/>
          <w:sz w:val="24"/>
        </w:rPr>
        <w:t>使用</w:t>
      </w:r>
      <w:r w:rsidRPr="00A214B0">
        <w:rPr>
          <w:rFonts w:ascii="Times New Roman" w:hAnsi="Times New Roman" w:cs="Times New Roman" w:hint="eastAsia"/>
          <w:color w:val="000000" w:themeColor="text1"/>
          <w:kern w:val="0"/>
          <w:sz w:val="24"/>
          <w:szCs w:val="24"/>
        </w:rPr>
        <w:t>6.00</w:t>
      </w:r>
      <w:r w:rsidRPr="00A214B0">
        <w:rPr>
          <w:rFonts w:ascii="Times New Roman" w:hAnsi="Times New Roman" w:cs="Times New Roman"/>
          <w:color w:val="000000" w:themeColor="text1"/>
          <w:sz w:val="24"/>
        </w:rPr>
        <w:t>年，参照《最新资产评估常用数据与参数手册》，</w:t>
      </w:r>
      <w:r w:rsidRPr="00A214B0">
        <w:rPr>
          <w:rFonts w:ascii="Times New Roman" w:hAnsi="Times New Roman" w:cs="Times New Roman"/>
          <w:color w:val="000000" w:themeColor="text1"/>
          <w:sz w:val="24"/>
          <w:szCs w:val="24"/>
        </w:rPr>
        <w:t>并通过现场勘察设备现状、查阅设备运行、修理及设备管理的档案资料，以及向工程技术人员、操作人员了解设备技术状况、实际负荷情况、故障情况、大修理情况、技术改造情况、维修保养情况等，同时考虑设备的已使用年限等因素，综合确定设备的尚可使用年限为</w:t>
      </w:r>
      <w:r w:rsidRPr="00A214B0">
        <w:rPr>
          <w:rFonts w:ascii="Times New Roman" w:hAnsi="Times New Roman" w:cs="Times New Roman" w:hint="eastAsia"/>
          <w:color w:val="000000" w:themeColor="text1"/>
          <w:sz w:val="24"/>
          <w:szCs w:val="24"/>
        </w:rPr>
        <w:t>14</w:t>
      </w:r>
      <w:r w:rsidRPr="00A214B0">
        <w:rPr>
          <w:rFonts w:ascii="Times New Roman" w:hAnsi="Times New Roman" w:cs="Times New Roman"/>
          <w:color w:val="000000" w:themeColor="text1"/>
          <w:sz w:val="24"/>
          <w:szCs w:val="24"/>
        </w:rPr>
        <w:t>年，然后按以下公式</w:t>
      </w:r>
      <w:r w:rsidRPr="00A214B0">
        <w:rPr>
          <w:rFonts w:ascii="Times New Roman" w:hAnsi="Times New Roman" w:cs="Times New Roman" w:hint="eastAsia"/>
          <w:color w:val="000000" w:themeColor="text1"/>
          <w:sz w:val="24"/>
          <w:szCs w:val="24"/>
        </w:rPr>
        <w:t>计算</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成新率＝尚可使用年限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尚可使用年限</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已使用年限</w:t>
      </w:r>
      <w:r w:rsidRPr="00A214B0">
        <w:rPr>
          <w:rFonts w:ascii="Times New Roman" w:hAnsi="Times New Roman" w:cs="Times New Roman"/>
          <w:color w:val="000000" w:themeColor="text1"/>
          <w:sz w:val="24"/>
          <w:szCs w:val="24"/>
        </w:rPr>
        <w:t>)×100%</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14</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14</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kern w:val="0"/>
          <w:sz w:val="24"/>
          <w:szCs w:val="24"/>
        </w:rPr>
        <w:t>6</w:t>
      </w:r>
      <w:r w:rsidRPr="00A214B0">
        <w:rPr>
          <w:rFonts w:ascii="Times New Roman" w:hAnsi="Times New Roman" w:cs="Times New Roman"/>
          <w:color w:val="000000" w:themeColor="text1"/>
          <w:sz w:val="24"/>
          <w:szCs w:val="24"/>
        </w:rPr>
        <w:t>)×100%</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70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）评估值的确定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评估值＝重置全价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8,585,000.00</w:t>
      </w:r>
      <w:r w:rsidRPr="00A214B0">
        <w:rPr>
          <w:rFonts w:ascii="Times New Roman" w:hAnsi="Times New Roman" w:cs="Times New Roman" w:hint="eastAsia"/>
          <w:color w:val="000000" w:themeColor="text1"/>
          <w:sz w:val="24"/>
        </w:rPr>
        <w:t xml:space="preserve"> </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70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6,009,500.00</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rPr>
      </w:pPr>
      <w:r w:rsidRPr="00A214B0">
        <w:rPr>
          <w:rFonts w:ascii="Times New Roman" w:hAnsi="Times New Roman" w:cs="Times New Roman"/>
          <w:color w:val="000000" w:themeColor="text1"/>
          <w:sz w:val="24"/>
        </w:rPr>
        <w:t>案例</w:t>
      </w:r>
      <w:r w:rsidRPr="00A214B0">
        <w:rPr>
          <w:rFonts w:ascii="Times New Roman" w:hAnsi="Times New Roman" w:cs="Times New Roman" w:hint="eastAsia"/>
          <w:color w:val="000000" w:themeColor="text1"/>
          <w:sz w:val="24"/>
        </w:rPr>
        <w:t>3</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小型普通客车</w:t>
      </w:r>
      <w:r w:rsidRPr="00A214B0">
        <w:rPr>
          <w:rFonts w:ascii="Times New Roman" w:hAnsi="Times New Roman" w:cs="Times New Roman"/>
          <w:color w:val="000000" w:themeColor="text1"/>
          <w:sz w:val="24"/>
        </w:rPr>
        <w:t>（车辆评估明细表序号</w:t>
      </w:r>
      <w:r w:rsidRPr="00A214B0">
        <w:rPr>
          <w:rFonts w:ascii="Times New Roman" w:hAnsi="Times New Roman" w:cs="Times New Roman" w:hint="eastAsia"/>
          <w:color w:val="000000" w:themeColor="text1"/>
          <w:sz w:val="24"/>
        </w:rPr>
        <w:t>8</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数</w:t>
      </w:r>
      <w:r w:rsidRPr="00A214B0">
        <w:rPr>
          <w:rFonts w:ascii="Times New Roman" w:hAnsi="Times New Roman" w:cs="Times New Roman" w:hint="eastAsia"/>
          <w:color w:val="000000" w:themeColor="text1"/>
          <w:sz w:val="24"/>
          <w:szCs w:val="24"/>
        </w:rPr>
        <w:t xml:space="preserve">    </w:t>
      </w:r>
      <w:r w:rsidRPr="00A214B0">
        <w:rPr>
          <w:rFonts w:ascii="Times New Roman" w:hAnsi="Times New Roman" w:cs="Times New Roman" w:hint="eastAsia"/>
          <w:color w:val="000000" w:themeColor="text1"/>
          <w:sz w:val="24"/>
          <w:szCs w:val="24"/>
        </w:rPr>
        <w:t>量：</w:t>
      </w:r>
      <w:r w:rsidRPr="00A214B0">
        <w:rPr>
          <w:rFonts w:ascii="Times New Roman" w:hAnsi="Times New Roman" w:cs="Times New Roman" w:hint="eastAsia"/>
          <w:color w:val="000000" w:themeColor="text1"/>
          <w:sz w:val="24"/>
          <w:szCs w:val="24"/>
        </w:rPr>
        <w:t>1</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车辆牌号：</w:t>
      </w:r>
      <w:r w:rsidRPr="00A214B0">
        <w:rPr>
          <w:rFonts w:ascii="Times New Roman" w:hAnsi="Times New Roman" w:cs="Times New Roman" w:hint="eastAsia"/>
          <w:color w:val="000000" w:themeColor="text1"/>
          <w:sz w:val="24"/>
          <w:szCs w:val="24"/>
        </w:rPr>
        <w:t>苏</w:t>
      </w:r>
      <w:r w:rsidRPr="00A214B0">
        <w:rPr>
          <w:rFonts w:ascii="Times New Roman" w:hAnsi="Times New Roman" w:cs="Times New Roman" w:hint="eastAsia"/>
          <w:color w:val="000000" w:themeColor="text1"/>
          <w:sz w:val="24"/>
          <w:szCs w:val="24"/>
        </w:rPr>
        <w:t>MDS578</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车辆型号：</w:t>
      </w:r>
      <w:r w:rsidRPr="00A214B0">
        <w:rPr>
          <w:rFonts w:ascii="Times New Roman" w:hAnsi="Times New Roman" w:cs="Times New Roman" w:hint="eastAsia"/>
          <w:color w:val="000000" w:themeColor="text1"/>
          <w:sz w:val="24"/>
          <w:szCs w:val="24"/>
        </w:rPr>
        <w:t>梅赛德斯</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奔驰牌</w:t>
      </w:r>
      <w:r w:rsidRPr="00A214B0">
        <w:rPr>
          <w:rFonts w:ascii="Times New Roman" w:hAnsi="Times New Roman" w:cs="Times New Roman" w:hint="eastAsia"/>
          <w:color w:val="000000" w:themeColor="text1"/>
          <w:sz w:val="24"/>
          <w:szCs w:val="24"/>
        </w:rPr>
        <w:t>FA6541M</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生产厂家</w:t>
      </w:r>
      <w:r w:rsidRPr="00A214B0">
        <w:rPr>
          <w:rFonts w:ascii="Times New Roman" w:hAnsi="Times New Roman" w:cs="Times New Roman" w:hint="eastAsia"/>
          <w:color w:val="000000" w:themeColor="text1"/>
          <w:sz w:val="24"/>
          <w:szCs w:val="24"/>
        </w:rPr>
        <w:t>：福建奔驰汽车工业有限公司</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购置日期：</w:t>
      </w:r>
      <w:r w:rsidRPr="00A214B0">
        <w:rPr>
          <w:rFonts w:ascii="Times New Roman" w:hAnsi="Times New Roman" w:cs="Times New Roman"/>
          <w:color w:val="000000" w:themeColor="text1"/>
          <w:sz w:val="24"/>
          <w:szCs w:val="24"/>
        </w:rPr>
        <w:t>201</w:t>
      </w:r>
      <w:r w:rsidRPr="00A214B0">
        <w:rPr>
          <w:rFonts w:ascii="Times New Roman" w:hAnsi="Times New Roman" w:cs="Times New Roman" w:hint="eastAsia"/>
          <w:color w:val="000000" w:themeColor="text1"/>
          <w:sz w:val="24"/>
          <w:szCs w:val="24"/>
        </w:rPr>
        <w:t>7</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11</w:t>
      </w:r>
      <w:r w:rsidRPr="00A214B0">
        <w:rPr>
          <w:rFonts w:ascii="Times New Roman" w:hAnsi="Times New Roman" w:cs="Times New Roman"/>
          <w:color w:val="000000" w:themeColor="text1"/>
          <w:sz w:val="24"/>
          <w:szCs w:val="24"/>
        </w:rPr>
        <w:t>月</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启用日期：</w:t>
      </w:r>
      <w:r w:rsidRPr="00A214B0">
        <w:rPr>
          <w:rFonts w:ascii="Times New Roman" w:hAnsi="Times New Roman" w:cs="Times New Roman"/>
          <w:color w:val="000000" w:themeColor="text1"/>
          <w:sz w:val="24"/>
          <w:szCs w:val="24"/>
        </w:rPr>
        <w:t>201</w:t>
      </w:r>
      <w:r w:rsidRPr="00A214B0">
        <w:rPr>
          <w:rFonts w:ascii="Times New Roman" w:hAnsi="Times New Roman" w:cs="Times New Roman" w:hint="eastAsia"/>
          <w:color w:val="000000" w:themeColor="text1"/>
          <w:sz w:val="24"/>
          <w:szCs w:val="24"/>
        </w:rPr>
        <w:t>7</w:t>
      </w:r>
      <w:r w:rsidRPr="00A214B0">
        <w:rPr>
          <w:rFonts w:ascii="Times New Roman" w:hAnsi="Times New Roman" w:cs="Times New Roman"/>
          <w:color w:val="000000" w:themeColor="text1"/>
          <w:sz w:val="24"/>
          <w:szCs w:val="24"/>
        </w:rPr>
        <w:t>年</w:t>
      </w:r>
      <w:r w:rsidRPr="00A214B0">
        <w:rPr>
          <w:rFonts w:ascii="Times New Roman" w:hAnsi="Times New Roman" w:cs="Times New Roman" w:hint="eastAsia"/>
          <w:color w:val="000000" w:themeColor="text1"/>
          <w:sz w:val="24"/>
          <w:szCs w:val="24"/>
        </w:rPr>
        <w:t>11</w:t>
      </w:r>
      <w:r w:rsidRPr="00A214B0">
        <w:rPr>
          <w:rFonts w:ascii="Times New Roman" w:hAnsi="Times New Roman" w:cs="Times New Roman"/>
          <w:color w:val="000000" w:themeColor="text1"/>
          <w:sz w:val="24"/>
          <w:szCs w:val="24"/>
        </w:rPr>
        <w:t>月</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已行驶里程：</w:t>
      </w:r>
      <w:r w:rsidRPr="00A214B0">
        <w:rPr>
          <w:rFonts w:ascii="Times New Roman" w:hAnsi="Times New Roman" w:cs="Times New Roman" w:hint="eastAsia"/>
          <w:color w:val="000000" w:themeColor="text1"/>
          <w:sz w:val="24"/>
          <w:szCs w:val="24"/>
        </w:rPr>
        <w:t>94500</w:t>
      </w:r>
      <w:r w:rsidRPr="00A214B0">
        <w:rPr>
          <w:rFonts w:ascii="Times New Roman" w:hAnsi="Times New Roman" w:cs="Times New Roman" w:hint="eastAsia"/>
          <w:color w:val="000000" w:themeColor="text1"/>
          <w:sz w:val="24"/>
          <w:szCs w:val="24"/>
        </w:rPr>
        <w:t>公里</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账面原值：</w:t>
      </w:r>
      <w:r w:rsidRPr="00A214B0">
        <w:rPr>
          <w:rFonts w:ascii="Times New Roman" w:hAnsi="Times New Roman" w:cs="Times New Roman" w:hint="eastAsia"/>
          <w:color w:val="000000" w:themeColor="text1"/>
          <w:sz w:val="24"/>
          <w:szCs w:val="24"/>
        </w:rPr>
        <w:t xml:space="preserve"> 339,631.97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账面净值：</w:t>
      </w:r>
      <w:r w:rsidRPr="00A214B0">
        <w:rPr>
          <w:rFonts w:ascii="Times New Roman" w:hAnsi="Times New Roman" w:cs="Times New Roman" w:hint="eastAsia"/>
          <w:color w:val="000000" w:themeColor="text1"/>
          <w:sz w:val="24"/>
          <w:szCs w:val="24"/>
        </w:rPr>
        <w:t xml:space="preserve"> 248,214.31 </w:t>
      </w:r>
      <w:r w:rsidRPr="00A214B0">
        <w:rPr>
          <w:rFonts w:ascii="Times New Roman" w:hAnsi="Times New Roman" w:cs="Times New Roman"/>
          <w:color w:val="000000" w:themeColor="text1"/>
          <w:sz w:val="24"/>
          <w:szCs w:val="24"/>
        </w:rPr>
        <w:t>元</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）车辆概况</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该车</w:t>
      </w:r>
      <w:r w:rsidRPr="00A214B0">
        <w:rPr>
          <w:rFonts w:ascii="Times New Roman" w:hAnsi="Times New Roman" w:cs="Times New Roman" w:hint="eastAsia"/>
          <w:color w:val="000000" w:themeColor="text1"/>
          <w:sz w:val="24"/>
          <w:szCs w:val="24"/>
        </w:rPr>
        <w:t>型系福建奔驰汽车工业有限公司生产的高端</w:t>
      </w:r>
      <w:r w:rsidRPr="00A214B0">
        <w:rPr>
          <w:rFonts w:ascii="Times New Roman" w:hAnsi="Times New Roman" w:cs="Times New Roman" w:hint="eastAsia"/>
          <w:color w:val="000000" w:themeColor="text1"/>
          <w:sz w:val="24"/>
          <w:szCs w:val="24"/>
        </w:rPr>
        <w:t>7</w:t>
      </w:r>
      <w:r w:rsidRPr="00A214B0">
        <w:rPr>
          <w:rFonts w:ascii="Times New Roman" w:hAnsi="Times New Roman" w:cs="Times New Roman" w:hint="eastAsia"/>
          <w:color w:val="000000" w:themeColor="text1"/>
          <w:sz w:val="24"/>
          <w:szCs w:val="24"/>
        </w:rPr>
        <w:t>做小型普通客车，主要技术参数如下：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外形尺寸：</w:t>
      </w:r>
      <w:r w:rsidRPr="00A214B0">
        <w:rPr>
          <w:rFonts w:ascii="Times New Roman" w:hAnsi="Times New Roman" w:cs="Times New Roman" w:hint="eastAsia"/>
          <w:color w:val="000000" w:themeColor="text1"/>
          <w:sz w:val="24"/>
          <w:szCs w:val="24"/>
        </w:rPr>
        <w:t>5370</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1928</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hint="eastAsia"/>
          <w:color w:val="000000" w:themeColor="text1"/>
          <w:sz w:val="24"/>
          <w:szCs w:val="24"/>
        </w:rPr>
        <w:t>1880mm</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总重量：</w:t>
      </w:r>
      <w:r w:rsidRPr="00A214B0">
        <w:rPr>
          <w:rFonts w:ascii="Times New Roman" w:hAnsi="Times New Roman" w:cs="Times New Roman" w:hint="eastAsia"/>
          <w:color w:val="000000" w:themeColor="text1"/>
          <w:sz w:val="24"/>
          <w:szCs w:val="24"/>
        </w:rPr>
        <w:t>2285KG</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发动</w:t>
      </w:r>
      <w:r w:rsidRPr="00A214B0">
        <w:rPr>
          <w:rFonts w:ascii="Times New Roman" w:hAnsi="Times New Roman" w:cs="Times New Roman" w:hint="eastAsia"/>
          <w:color w:val="000000" w:themeColor="text1"/>
          <w:sz w:val="24"/>
          <w:szCs w:val="24"/>
        </w:rPr>
        <w:t>机型号：</w:t>
      </w:r>
      <w:r w:rsidRPr="00A214B0">
        <w:rPr>
          <w:rFonts w:ascii="Times New Roman" w:hAnsi="Times New Roman" w:cs="Times New Roman" w:hint="eastAsia"/>
          <w:color w:val="000000" w:themeColor="text1"/>
          <w:sz w:val="24"/>
          <w:szCs w:val="24"/>
        </w:rPr>
        <w:t>274920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发动机厂家：北京奔驰汽车有限公司</w:t>
      </w:r>
    </w:p>
    <w:p w:rsidR="00D56508" w:rsidRPr="00A214B0" w:rsidRDefault="00F1265B">
      <w:pPr>
        <w:adjustRightInd w:val="0"/>
        <w:snapToGrid w:val="0"/>
        <w:spacing w:line="360" w:lineRule="auto"/>
        <w:ind w:firstLineChars="200" w:firstLine="480"/>
        <w:rPr>
          <w:color w:val="000000" w:themeColor="text1"/>
        </w:rPr>
      </w:pPr>
      <w:r w:rsidRPr="00A214B0">
        <w:rPr>
          <w:rFonts w:ascii="Times New Roman" w:hAnsi="Times New Roman" w:cs="Times New Roman" w:hint="eastAsia"/>
          <w:color w:val="000000" w:themeColor="text1"/>
          <w:sz w:val="24"/>
          <w:szCs w:val="24"/>
        </w:rPr>
        <w:t>功率：</w:t>
      </w:r>
      <w:r w:rsidRPr="00A214B0">
        <w:rPr>
          <w:rFonts w:ascii="Times New Roman" w:hAnsi="Times New Roman" w:cs="Times New Roman" w:hint="eastAsia"/>
          <w:color w:val="000000" w:themeColor="text1"/>
          <w:sz w:val="24"/>
          <w:szCs w:val="24"/>
        </w:rPr>
        <w:t>155KW</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发动机排量：</w:t>
      </w:r>
      <w:r w:rsidRPr="00A214B0">
        <w:rPr>
          <w:rFonts w:ascii="Times New Roman" w:hAnsi="Times New Roman" w:cs="Times New Roman" w:hint="eastAsia"/>
          <w:color w:val="000000" w:themeColor="text1"/>
          <w:sz w:val="24"/>
          <w:szCs w:val="24"/>
        </w:rPr>
        <w:t>1991ml</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燃油种类：汽油</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供油方式：直喷</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排放标准：</w:t>
      </w:r>
      <w:r w:rsidRPr="00A214B0">
        <w:rPr>
          <w:rFonts w:ascii="Times New Roman" w:hAnsi="Times New Roman" w:cs="Times New Roman" w:hint="eastAsia"/>
          <w:color w:val="000000" w:themeColor="text1"/>
          <w:sz w:val="24"/>
          <w:szCs w:val="24"/>
        </w:rPr>
        <w:t>GB18352.3-2013</w:t>
      </w:r>
      <w:r w:rsidRPr="00A214B0">
        <w:rPr>
          <w:rFonts w:ascii="Times New Roman" w:hAnsi="Times New Roman" w:cs="Times New Roman" w:hint="eastAsia"/>
          <w:color w:val="000000" w:themeColor="text1"/>
          <w:sz w:val="24"/>
          <w:szCs w:val="24"/>
        </w:rPr>
        <w:t>国Ⅳ</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该车购入后即向当地公安局交通管理局登记申领行驶证，并按各级政府颁布的规定，向有关部门缴纳应缴之费用后启用</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color w:val="000000" w:themeColor="text1"/>
          <w:sz w:val="24"/>
          <w:szCs w:val="24"/>
        </w:rPr>
        <w:t>该车现</w:t>
      </w:r>
      <w:r w:rsidRPr="00A214B0">
        <w:rPr>
          <w:rFonts w:ascii="Times New Roman" w:hAnsi="Times New Roman" w:cs="Times New Roman" w:hint="eastAsia"/>
          <w:color w:val="000000" w:themeColor="text1"/>
          <w:sz w:val="24"/>
          <w:szCs w:val="24"/>
        </w:rPr>
        <w:t>为企业公务用车</w:t>
      </w:r>
      <w:r w:rsidRPr="00A214B0">
        <w:rPr>
          <w:rFonts w:ascii="Times New Roman" w:hAnsi="Times New Roman" w:cs="Times New Roman" w:hint="eastAsia"/>
          <w:color w:val="000000" w:themeColor="text1"/>
          <w:sz w:val="24"/>
          <w:szCs w:val="24"/>
        </w:rPr>
        <w:t xml:space="preserve"> </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）重置全价的确定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不含税购置价</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不含税购置价</w:t>
      </w:r>
      <w:r w:rsidRPr="00A214B0">
        <w:rPr>
          <w:rFonts w:ascii="Times New Roman" w:hAnsi="Times New Roman" w:cs="Times New Roman"/>
          <w:color w:val="000000" w:themeColor="text1"/>
          <w:sz w:val="24"/>
          <w:szCs w:val="24"/>
        </w:rPr>
        <w:t>×10%+</w:t>
      </w:r>
      <w:r w:rsidRPr="00A214B0">
        <w:rPr>
          <w:rFonts w:ascii="Times New Roman" w:hAnsi="Times New Roman" w:cs="Times New Roman"/>
          <w:color w:val="000000" w:themeColor="text1"/>
          <w:sz w:val="24"/>
          <w:szCs w:val="24"/>
        </w:rPr>
        <w:t>牌照手续费</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经查询，该型</w:t>
      </w:r>
      <w:r w:rsidRPr="00A214B0">
        <w:rPr>
          <w:rFonts w:ascii="Times New Roman" w:hAnsi="Times New Roman" w:cs="Times New Roman" w:hint="eastAsia"/>
          <w:color w:val="000000" w:themeColor="text1"/>
          <w:sz w:val="24"/>
          <w:szCs w:val="24"/>
        </w:rPr>
        <w:t>小型普通客车</w:t>
      </w:r>
      <w:r w:rsidRPr="00A214B0">
        <w:rPr>
          <w:rFonts w:ascii="Times New Roman" w:hAnsi="Times New Roman" w:cs="Times New Roman"/>
          <w:color w:val="000000" w:themeColor="text1"/>
          <w:sz w:val="24"/>
          <w:szCs w:val="24"/>
        </w:rPr>
        <w:t>目前市场零售价为</w:t>
      </w:r>
      <w:r w:rsidRPr="00A214B0">
        <w:rPr>
          <w:rFonts w:ascii="Times New Roman" w:hAnsi="Times New Roman" w:cs="Times New Roman" w:hint="eastAsia"/>
          <w:color w:val="000000" w:themeColor="text1"/>
          <w:sz w:val="24"/>
          <w:szCs w:val="24"/>
        </w:rPr>
        <w:t xml:space="preserve"> 310,000.00 </w:t>
      </w:r>
      <w:r w:rsidRPr="00A214B0">
        <w:rPr>
          <w:rFonts w:ascii="Times New Roman" w:hAnsi="Times New Roman" w:cs="Times New Roman"/>
          <w:color w:val="000000" w:themeColor="text1"/>
          <w:sz w:val="24"/>
          <w:szCs w:val="24"/>
        </w:rPr>
        <w:t>元（含税）</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color w:val="000000" w:themeColor="text1"/>
          <w:sz w:val="24"/>
          <w:szCs w:val="24"/>
        </w:rPr>
        <w:t>车辆购置税为不含税价的</w:t>
      </w:r>
      <w:r w:rsidRPr="00A214B0">
        <w:rPr>
          <w:rFonts w:ascii="Times New Roman" w:hAnsi="Times New Roman" w:cs="Times New Roman"/>
          <w:color w:val="000000" w:themeColor="text1"/>
          <w:sz w:val="24"/>
          <w:szCs w:val="24"/>
        </w:rPr>
        <w:t>10%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牌照手续费：参照</w:t>
      </w:r>
      <w:r w:rsidRPr="00A214B0">
        <w:rPr>
          <w:rFonts w:ascii="Times New Roman" w:hAnsi="Times New Roman" w:cs="Times New Roman" w:hint="eastAsia"/>
          <w:color w:val="000000" w:themeColor="text1"/>
          <w:sz w:val="24"/>
          <w:szCs w:val="24"/>
        </w:rPr>
        <w:t>张家港市</w:t>
      </w:r>
      <w:r w:rsidRPr="00A214B0">
        <w:rPr>
          <w:rFonts w:ascii="Times New Roman" w:hAnsi="Times New Roman" w:cs="Times New Roman"/>
          <w:color w:val="000000" w:themeColor="text1"/>
          <w:sz w:val="24"/>
          <w:szCs w:val="24"/>
        </w:rPr>
        <w:t>新车上户的相关规定取</w:t>
      </w:r>
      <w:r w:rsidRPr="00A214B0">
        <w:rPr>
          <w:rFonts w:ascii="Times New Roman" w:hAnsi="Times New Roman" w:cs="Times New Roman"/>
          <w:color w:val="000000" w:themeColor="text1"/>
          <w:sz w:val="24"/>
          <w:szCs w:val="24"/>
        </w:rPr>
        <w:t>500</w:t>
      </w:r>
      <w:r w:rsidRPr="00A214B0">
        <w:rPr>
          <w:rFonts w:ascii="Times New Roman" w:hAnsi="Times New Roman" w:cs="Times New Roman"/>
          <w:color w:val="000000" w:themeColor="text1"/>
          <w:sz w:val="24"/>
          <w:szCs w:val="24"/>
        </w:rPr>
        <w:t>元。则：</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310,000.00</w:t>
      </w:r>
      <w:r w:rsidRPr="00A214B0">
        <w:rPr>
          <w:rFonts w:ascii="Times New Roman" w:hAnsi="Times New Roman" w:cs="Times New Roman"/>
          <w:color w:val="000000" w:themeColor="text1"/>
          <w:sz w:val="24"/>
          <w:szCs w:val="24"/>
        </w:rPr>
        <w:t>/1.1</w:t>
      </w:r>
      <w:r w:rsidRPr="00A214B0">
        <w:rPr>
          <w:rFonts w:ascii="Times New Roman" w:hAnsi="Times New Roman" w:cs="Times New Roman" w:hint="eastAsia"/>
          <w:color w:val="000000" w:themeColor="text1"/>
          <w:sz w:val="24"/>
          <w:szCs w:val="24"/>
        </w:rPr>
        <w:t>3</w:t>
      </w:r>
      <w:r w:rsidRPr="00A214B0">
        <w:rPr>
          <w:rFonts w:ascii="Times New Roman" w:hAnsi="Times New Roman" w:cs="Times New Roman"/>
          <w:color w:val="000000" w:themeColor="text1"/>
          <w:sz w:val="24"/>
          <w:szCs w:val="24"/>
        </w:rPr>
        <w:t>×[1+10%]+500</w:t>
      </w:r>
    </w:p>
    <w:p w:rsidR="00D56508" w:rsidRPr="00A214B0" w:rsidRDefault="00F1265B">
      <w:pPr>
        <w:adjustRightInd w:val="0"/>
        <w:snapToGrid w:val="0"/>
        <w:spacing w:line="360" w:lineRule="auto"/>
        <w:ind w:firstLineChars="600" w:firstLine="144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 xml:space="preserve"> 302,200.00</w:t>
      </w:r>
      <w:r w:rsidRPr="00A214B0">
        <w:rPr>
          <w:rFonts w:ascii="Times New Roman" w:hAnsi="Times New Roman" w:cs="Times New Roman"/>
          <w:color w:val="000000" w:themeColor="text1"/>
          <w:sz w:val="24"/>
          <w:szCs w:val="24"/>
        </w:rPr>
        <w:t>（元）（取整）</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）成新率的确定</w:t>
      </w:r>
    </w:p>
    <w:p w:rsidR="00D56508" w:rsidRPr="00A214B0" w:rsidRDefault="00F1265B">
      <w:pPr>
        <w:adjustRightInd w:val="0"/>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根据国家颁布的车辆强制报废标准，</w:t>
      </w:r>
      <w:r w:rsidRPr="00A214B0">
        <w:rPr>
          <w:rFonts w:ascii="Times New Roman" w:hAnsi="Times New Roman" w:cs="Times New Roman" w:hint="eastAsia"/>
          <w:color w:val="000000" w:themeColor="text1"/>
          <w:sz w:val="24"/>
          <w:szCs w:val="24"/>
        </w:rPr>
        <w:t>该型号车辆为小型普通客车，用途为非营运，无</w:t>
      </w:r>
      <w:r w:rsidRPr="00A214B0">
        <w:rPr>
          <w:rFonts w:ascii="Times New Roman" w:hAnsi="Times New Roman" w:cs="Times New Roman"/>
          <w:color w:val="000000" w:themeColor="text1"/>
          <w:sz w:val="24"/>
          <w:szCs w:val="24"/>
        </w:rPr>
        <w:t>强制报废年限</w:t>
      </w:r>
      <w:r w:rsidRPr="00A214B0">
        <w:rPr>
          <w:rFonts w:ascii="Times New Roman" w:hAnsi="Times New Roman" w:cs="Times New Roman" w:hint="eastAsia"/>
          <w:color w:val="000000" w:themeColor="text1"/>
          <w:sz w:val="24"/>
          <w:szCs w:val="24"/>
        </w:rPr>
        <w:t>要求</w:t>
      </w:r>
      <w:r w:rsidRPr="00A214B0">
        <w:rPr>
          <w:rFonts w:ascii="Times New Roman" w:hAnsi="Times New Roman" w:cs="Times New Roman"/>
          <w:color w:val="000000" w:themeColor="text1"/>
          <w:sz w:val="24"/>
          <w:szCs w:val="24"/>
        </w:rPr>
        <w:t>，规定行驶里程为</w:t>
      </w:r>
      <w:r w:rsidRPr="00A214B0">
        <w:rPr>
          <w:rFonts w:ascii="Times New Roman" w:hAnsi="Times New Roman" w:cs="Times New Roman" w:hint="eastAsia"/>
          <w:color w:val="000000" w:themeColor="text1"/>
          <w:sz w:val="24"/>
          <w:szCs w:val="24"/>
        </w:rPr>
        <w:t>6</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万公里</w:t>
      </w:r>
      <w:r w:rsidRPr="00A214B0">
        <w:rPr>
          <w:rFonts w:ascii="Times New Roman" w:hAnsi="Times New Roman" w:cs="Times New Roman" w:hint="eastAsia"/>
          <w:color w:val="000000" w:themeColor="text1"/>
          <w:sz w:val="24"/>
          <w:szCs w:val="24"/>
        </w:rPr>
        <w:t>，</w:t>
      </w:r>
      <w:r w:rsidRPr="00A214B0">
        <w:rPr>
          <w:rFonts w:ascii="Times New Roman" w:hAnsi="Times New Roman" w:cs="Times New Roman"/>
          <w:color w:val="000000" w:themeColor="text1"/>
          <w:sz w:val="24"/>
          <w:szCs w:val="24"/>
        </w:rPr>
        <w:t>其理论成新率</w:t>
      </w:r>
      <w:r w:rsidRPr="00A214B0">
        <w:rPr>
          <w:rFonts w:ascii="Times New Roman" w:hAnsi="Times New Roman" w:cs="Times New Roman" w:hint="eastAsia"/>
          <w:color w:val="000000" w:themeColor="text1"/>
          <w:sz w:val="24"/>
          <w:szCs w:val="24"/>
        </w:rPr>
        <w:t>即为行驶里程成新率</w:t>
      </w:r>
      <w:r w:rsidRPr="00A214B0">
        <w:rPr>
          <w:rFonts w:ascii="Times New Roman" w:hAnsi="Times New Roman" w:cs="Times New Roman"/>
          <w:color w:val="000000" w:themeColor="text1"/>
          <w:sz w:val="24"/>
          <w:szCs w:val="24"/>
        </w:rPr>
        <w:t>，然后结合现场勘查情况进行调整。计算公式如下：</w:t>
      </w:r>
    </w:p>
    <w:p w:rsidR="00D56508" w:rsidRPr="00A214B0" w:rsidRDefault="00F1265B">
      <w:pPr>
        <w:adjustRightInd w:val="0"/>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行驶里程成新率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（规定行驶里程－已行驶里程）／规定行驶里程</w:t>
      </w:r>
      <w:r w:rsidRPr="00A214B0">
        <w:rPr>
          <w:rFonts w:ascii="Times New Roman" w:hAnsi="Times New Roman" w:cs="Times New Roman"/>
          <w:color w:val="000000" w:themeColor="text1"/>
          <w:sz w:val="24"/>
          <w:szCs w:val="24"/>
        </w:rPr>
        <w:t xml:space="preserve"> × 100%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综合成新率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行驶里程成新率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勘察</w:t>
      </w:r>
      <w:r w:rsidRPr="00A214B0">
        <w:rPr>
          <w:rFonts w:ascii="Times New Roman" w:hAnsi="Times New Roman" w:cs="Times New Roman"/>
          <w:color w:val="000000" w:themeColor="text1"/>
          <w:sz w:val="24"/>
          <w:szCs w:val="24"/>
        </w:rPr>
        <w:t>调整</w:t>
      </w:r>
      <w:r w:rsidRPr="00A214B0">
        <w:rPr>
          <w:rFonts w:ascii="Times New Roman" w:hAnsi="Times New Roman" w:cs="Times New Roman" w:hint="eastAsia"/>
          <w:color w:val="000000" w:themeColor="text1"/>
          <w:sz w:val="24"/>
          <w:szCs w:val="24"/>
        </w:rPr>
        <w:t>值</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hint="eastAsia"/>
          <w:color w:val="000000" w:themeColor="text1"/>
          <w:sz w:val="24"/>
          <w:szCs w:val="24"/>
        </w:rPr>
        <w:t>截止评估基准日，已行驶</w:t>
      </w:r>
      <w:r w:rsidRPr="00A214B0">
        <w:rPr>
          <w:rFonts w:ascii="Times New Roman" w:hAnsi="Times New Roman" w:cs="Times New Roman" w:hint="eastAsia"/>
          <w:color w:val="000000" w:themeColor="text1"/>
          <w:sz w:val="24"/>
          <w:szCs w:val="24"/>
        </w:rPr>
        <w:t>94500KM</w:t>
      </w:r>
      <w:r w:rsidRPr="00A214B0">
        <w:rPr>
          <w:rFonts w:ascii="Times New Roman" w:hAnsi="Times New Roman" w:cs="Times New Roman" w:hint="eastAsia"/>
          <w:color w:val="000000" w:themeColor="text1"/>
          <w:sz w:val="24"/>
          <w:szCs w:val="24"/>
        </w:rPr>
        <w:t>，则：</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行驶里程成新率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hint="eastAsia"/>
          <w:color w:val="000000" w:themeColor="text1"/>
          <w:sz w:val="24"/>
          <w:szCs w:val="24"/>
        </w:rPr>
        <w:t>94500</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6</w:t>
      </w:r>
      <w:r w:rsidRPr="00A214B0">
        <w:rPr>
          <w:rFonts w:ascii="Times New Roman" w:hAnsi="Times New Roman" w:cs="Times New Roman"/>
          <w:color w:val="000000" w:themeColor="text1"/>
          <w:sz w:val="24"/>
          <w:szCs w:val="24"/>
        </w:rPr>
        <w:t>00000</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×100%=</w:t>
      </w:r>
      <w:r w:rsidRPr="00A214B0">
        <w:rPr>
          <w:rFonts w:ascii="Times New Roman" w:hAnsi="Times New Roman" w:cs="Times New Roman" w:hint="eastAsia"/>
          <w:color w:val="000000" w:themeColor="text1"/>
          <w:sz w:val="24"/>
          <w:szCs w:val="24"/>
        </w:rPr>
        <w:t>84</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现场勘察情况：</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经现场勘察，检视仪表水温及油温正常，各显示数据符合技术规范的要求；发动机启动正常，起步时离合器无杂音，加速时车身</w:t>
      </w:r>
      <w:r w:rsidRPr="00A214B0">
        <w:rPr>
          <w:rFonts w:ascii="Times New Roman" w:hAnsi="Times New Roman" w:cs="Times New Roman" w:hint="eastAsia"/>
          <w:color w:val="000000" w:themeColor="text1"/>
          <w:sz w:val="24"/>
          <w:szCs w:val="24"/>
        </w:rPr>
        <w:t>无明显</w:t>
      </w:r>
      <w:r w:rsidRPr="00A214B0">
        <w:rPr>
          <w:rFonts w:ascii="Times New Roman" w:hAnsi="Times New Roman" w:cs="Times New Roman"/>
          <w:color w:val="000000" w:themeColor="text1"/>
          <w:sz w:val="24"/>
          <w:szCs w:val="24"/>
        </w:rPr>
        <w:t>震动；冷却系统良好，燃油消耗正常；前后桥无变形和裂纹，转向系统</w:t>
      </w:r>
      <w:r w:rsidRPr="00A214B0">
        <w:rPr>
          <w:rFonts w:ascii="Times New Roman" w:hAnsi="Times New Roman" w:cs="Times New Roman" w:hint="eastAsia"/>
          <w:color w:val="000000" w:themeColor="text1"/>
          <w:sz w:val="24"/>
          <w:szCs w:val="24"/>
        </w:rPr>
        <w:t>间隙适中</w:t>
      </w:r>
      <w:r w:rsidRPr="00A214B0">
        <w:rPr>
          <w:rFonts w:ascii="Times New Roman" w:hAnsi="Times New Roman" w:cs="Times New Roman"/>
          <w:color w:val="000000" w:themeColor="text1"/>
          <w:sz w:val="24"/>
          <w:szCs w:val="24"/>
        </w:rPr>
        <w:t>；制动不跑偏，制动时</w:t>
      </w:r>
      <w:r w:rsidRPr="00A214B0">
        <w:rPr>
          <w:rFonts w:ascii="Times New Roman" w:hAnsi="Times New Roman" w:cs="Times New Roman" w:hint="eastAsia"/>
          <w:color w:val="000000" w:themeColor="text1"/>
          <w:sz w:val="24"/>
          <w:szCs w:val="24"/>
        </w:rPr>
        <w:t>无</w:t>
      </w:r>
      <w:r w:rsidRPr="00A214B0">
        <w:rPr>
          <w:rFonts w:ascii="Times New Roman" w:hAnsi="Times New Roman" w:cs="Times New Roman"/>
          <w:color w:val="000000" w:themeColor="text1"/>
          <w:sz w:val="24"/>
          <w:szCs w:val="24"/>
        </w:rPr>
        <w:t>杂音；差速器及半轴无异常响声，变速操作无脱档现象；车辆地盘</w:t>
      </w:r>
      <w:r w:rsidRPr="00A214B0">
        <w:rPr>
          <w:rFonts w:ascii="Times New Roman" w:hAnsi="Times New Roman" w:cs="Times New Roman" w:hint="eastAsia"/>
          <w:color w:val="000000" w:themeColor="text1"/>
          <w:sz w:val="24"/>
          <w:szCs w:val="24"/>
        </w:rPr>
        <w:t>无</w:t>
      </w:r>
      <w:r w:rsidRPr="00A214B0">
        <w:rPr>
          <w:rFonts w:ascii="Times New Roman" w:hAnsi="Times New Roman" w:cs="Times New Roman"/>
          <w:color w:val="000000" w:themeColor="text1"/>
          <w:sz w:val="24"/>
          <w:szCs w:val="24"/>
        </w:rPr>
        <w:t>油污；内饰清洁，坐椅完整，仪表、车灯齐全，音响效果</w:t>
      </w:r>
      <w:r w:rsidRPr="00A214B0">
        <w:rPr>
          <w:rFonts w:ascii="Times New Roman" w:hAnsi="Times New Roman" w:cs="Times New Roman" w:hint="eastAsia"/>
          <w:color w:val="000000" w:themeColor="text1"/>
          <w:sz w:val="24"/>
          <w:szCs w:val="24"/>
        </w:rPr>
        <w:t>良好</w:t>
      </w:r>
      <w:r w:rsidRPr="00A214B0">
        <w:rPr>
          <w:rFonts w:ascii="Times New Roman" w:hAnsi="Times New Roman" w:cs="Times New Roman"/>
          <w:color w:val="000000" w:themeColor="text1"/>
          <w:sz w:val="24"/>
          <w:szCs w:val="24"/>
        </w:rPr>
        <w:t>，电源系统良好；车架无变形，减震装置效果较好，轮胎</w:t>
      </w:r>
      <w:r w:rsidRPr="00A214B0">
        <w:rPr>
          <w:rFonts w:ascii="Times New Roman" w:hAnsi="Times New Roman" w:cs="Times New Roman" w:hint="eastAsia"/>
          <w:color w:val="000000" w:themeColor="text1"/>
          <w:sz w:val="24"/>
          <w:szCs w:val="24"/>
        </w:rPr>
        <w:t>无明显</w:t>
      </w:r>
      <w:r w:rsidRPr="00A214B0">
        <w:rPr>
          <w:rFonts w:ascii="Times New Roman" w:hAnsi="Times New Roman" w:cs="Times New Roman"/>
          <w:color w:val="000000" w:themeColor="text1"/>
          <w:sz w:val="24"/>
          <w:szCs w:val="24"/>
        </w:rPr>
        <w:t>磨损</w:t>
      </w:r>
      <w:r w:rsidRPr="00A214B0">
        <w:rPr>
          <w:rFonts w:ascii="Times New Roman" w:hAnsi="Times New Roman" w:cs="Times New Roman" w:hint="eastAsia"/>
          <w:color w:val="000000" w:themeColor="text1"/>
          <w:sz w:val="24"/>
          <w:szCs w:val="24"/>
        </w:rPr>
        <w:t>；车辆外观良好，无明显划痕</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根据以上勘察情况，</w:t>
      </w:r>
      <w:r w:rsidRPr="00A214B0">
        <w:rPr>
          <w:rFonts w:ascii="Times New Roman" w:hAnsi="Times New Roman" w:cs="Times New Roman" w:hint="eastAsia"/>
          <w:color w:val="000000" w:themeColor="text1"/>
          <w:sz w:val="24"/>
          <w:szCs w:val="24"/>
        </w:rPr>
        <w:t>评估人员认为其行驶里程成新率能真实反映车辆实际情况，</w:t>
      </w:r>
      <w:r w:rsidRPr="00A214B0">
        <w:rPr>
          <w:rFonts w:ascii="Times New Roman" w:hAnsi="Times New Roman" w:cs="Times New Roman"/>
          <w:color w:val="000000" w:themeColor="text1"/>
          <w:sz w:val="24"/>
          <w:szCs w:val="24"/>
        </w:rPr>
        <w:t>确定</w:t>
      </w:r>
      <w:r w:rsidRPr="00A214B0">
        <w:rPr>
          <w:rFonts w:ascii="Times New Roman" w:hAnsi="Times New Roman" w:cs="Times New Roman" w:hint="eastAsia"/>
          <w:color w:val="000000" w:themeColor="text1"/>
          <w:sz w:val="24"/>
          <w:szCs w:val="24"/>
        </w:rPr>
        <w:t>其勘察调整值为</w:t>
      </w:r>
      <w:r w:rsidRPr="00A214B0">
        <w:rPr>
          <w:rFonts w:ascii="Times New Roman" w:hAnsi="Times New Roman" w:cs="Times New Roman" w:hint="eastAsia"/>
          <w:color w:val="000000" w:themeColor="text1"/>
          <w:sz w:val="24"/>
          <w:szCs w:val="24"/>
        </w:rPr>
        <w:t>0</w:t>
      </w:r>
      <w:r w:rsidRPr="00A214B0">
        <w:rPr>
          <w:rFonts w:ascii="Times New Roman" w:hAnsi="Times New Roman" w:cs="Times New Roman"/>
          <w:color w:val="000000" w:themeColor="text1"/>
          <w:sz w:val="24"/>
          <w:szCs w:val="24"/>
        </w:rPr>
        <w:t>，则：</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综合成新率</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84</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4</w:t>
      </w:r>
      <w:r w:rsidRPr="00A214B0">
        <w:rPr>
          <w:rFonts w:ascii="Times New Roman" w:hAnsi="Times New Roman" w:cs="Times New Roman"/>
          <w:color w:val="000000" w:themeColor="text1"/>
          <w:sz w:val="24"/>
          <w:szCs w:val="24"/>
        </w:rPr>
        <w:t>）评估值的确定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评估值</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重置全价</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成新率</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302,200.00</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84</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500" w:firstLine="120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 xml:space="preserve">253,848.00 </w:t>
      </w:r>
      <w:r w:rsidRPr="00A214B0">
        <w:rPr>
          <w:rFonts w:ascii="Times New Roman" w:hAnsi="Times New Roman" w:cs="Times New Roman"/>
          <w:color w:val="000000" w:themeColor="text1"/>
          <w:sz w:val="24"/>
          <w:szCs w:val="24"/>
        </w:rPr>
        <w:t>（元）</w:t>
      </w:r>
    </w:p>
    <w:p w:rsidR="00D56508" w:rsidRPr="00A214B0" w:rsidRDefault="00F1265B">
      <w:pPr>
        <w:pStyle w:val="20"/>
        <w:numPr>
          <w:ilvl w:val="0"/>
          <w:numId w:val="8"/>
        </w:numPr>
        <w:ind w:firstLine="480"/>
        <w:rPr>
          <w:rFonts w:ascii="Times New Roman" w:hAnsi="Times New Roman"/>
          <w:color w:val="000000" w:themeColor="text1"/>
        </w:rPr>
      </w:pPr>
      <w:r w:rsidRPr="00A214B0">
        <w:rPr>
          <w:rFonts w:ascii="Times New Roman" w:hAnsi="Times New Roman"/>
          <w:color w:val="000000" w:themeColor="text1"/>
        </w:rPr>
        <w:t>在建工程评估说明</w:t>
      </w:r>
      <w:bookmarkEnd w:id="73"/>
    </w:p>
    <w:p w:rsidR="00BA754A"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评估基准日，评估范围内的在建工程为设备安装工程，账面价值</w:t>
      </w:r>
      <w:r w:rsidRPr="00A214B0">
        <w:rPr>
          <w:rFonts w:ascii="Times New Roman" w:hAnsi="Times New Roman" w:cs="Times New Roman"/>
          <w:color w:val="000000" w:themeColor="text1"/>
          <w:kern w:val="0"/>
          <w:sz w:val="24"/>
          <w:szCs w:val="24"/>
        </w:rPr>
        <w:t xml:space="preserve"> 8,265,423.32 </w:t>
      </w:r>
      <w:r w:rsidRPr="00A214B0">
        <w:rPr>
          <w:rFonts w:ascii="Times New Roman" w:hAnsi="Times New Roman" w:cs="Times New Roman"/>
          <w:color w:val="000000" w:themeColor="text1"/>
          <w:kern w:val="0"/>
          <w:sz w:val="24"/>
          <w:szCs w:val="24"/>
        </w:rPr>
        <w:t>元，</w:t>
      </w:r>
    </w:p>
    <w:p w:rsidR="00BA754A" w:rsidRPr="00A214B0" w:rsidRDefault="00F1265B" w:rsidP="00BA754A">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未计提减值准备，主要包括库区零星土建、环保型混合芳烃装车尾气综合处理回收工艺的研发、尾气回收处理、安全仪表系统、蒸汽管网及电伴热技术改造等工程。</w:t>
      </w:r>
    </w:p>
    <w:p w:rsidR="00BA754A" w:rsidRPr="00A214B0" w:rsidRDefault="00BA754A" w:rsidP="00BA754A">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hint="eastAsia"/>
          <w:color w:val="000000" w:themeColor="text1"/>
          <w:kern w:val="0"/>
          <w:sz w:val="24"/>
          <w:szCs w:val="24"/>
        </w:rPr>
        <w:t>具体如下</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721"/>
        <w:gridCol w:w="1403"/>
        <w:gridCol w:w="1571"/>
        <w:gridCol w:w="2269"/>
      </w:tblGrid>
      <w:tr w:rsidR="00BA754A" w:rsidRPr="00A214B0" w:rsidTr="00BA754A">
        <w:trPr>
          <w:trHeight w:val="500"/>
        </w:trPr>
        <w:tc>
          <w:tcPr>
            <w:tcW w:w="300" w:type="pct"/>
            <w:vMerge w:val="restar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宋体" w:eastAsia="宋体" w:hAnsi="宋体" w:cs="Times New Roman" w:hint="eastAsia"/>
                <w:kern w:val="0"/>
                <w:sz w:val="20"/>
                <w:szCs w:val="20"/>
              </w:rPr>
              <w:t>序号</w:t>
            </w:r>
          </w:p>
        </w:tc>
        <w:tc>
          <w:tcPr>
            <w:tcW w:w="1606" w:type="pct"/>
            <w:vMerge w:val="restar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宋体" w:eastAsia="宋体" w:hAnsi="宋体" w:cs="Times New Roman" w:hint="eastAsia"/>
                <w:kern w:val="0"/>
                <w:sz w:val="20"/>
                <w:szCs w:val="20"/>
              </w:rPr>
              <w:t>项目名称</w:t>
            </w:r>
          </w:p>
        </w:tc>
        <w:tc>
          <w:tcPr>
            <w:tcW w:w="828" w:type="pct"/>
            <w:vMerge w:val="restart"/>
            <w:shd w:val="clear" w:color="auto" w:fill="auto"/>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宋体" w:eastAsia="宋体" w:hAnsi="宋体" w:cs="Times New Roman" w:hint="eastAsia"/>
                <w:kern w:val="0"/>
                <w:sz w:val="20"/>
                <w:szCs w:val="20"/>
              </w:rPr>
              <w:t>开工日期</w:t>
            </w:r>
          </w:p>
        </w:tc>
        <w:tc>
          <w:tcPr>
            <w:tcW w:w="927" w:type="pct"/>
            <w:vMerge w:val="restart"/>
            <w:shd w:val="clear" w:color="auto" w:fill="auto"/>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宋体" w:eastAsia="宋体" w:hAnsi="宋体" w:cs="Times New Roman" w:hint="eastAsia"/>
                <w:kern w:val="0"/>
                <w:sz w:val="20"/>
                <w:szCs w:val="20"/>
              </w:rPr>
              <w:t>预计完工日期</w:t>
            </w:r>
          </w:p>
        </w:tc>
        <w:tc>
          <w:tcPr>
            <w:tcW w:w="1339" w:type="pct"/>
            <w:vMerge w:val="restart"/>
            <w:vAlign w:val="center"/>
          </w:tcPr>
          <w:p w:rsidR="00BA754A" w:rsidRPr="00A214B0" w:rsidRDefault="00BA754A" w:rsidP="00BA754A">
            <w:pPr>
              <w:widowControl/>
              <w:jc w:val="center"/>
              <w:rPr>
                <w:rFonts w:ascii="宋体" w:eastAsia="宋体" w:hAnsi="宋体" w:cs="Times New Roman"/>
                <w:kern w:val="0"/>
                <w:sz w:val="20"/>
                <w:szCs w:val="20"/>
              </w:rPr>
            </w:pPr>
            <w:r w:rsidRPr="00A214B0">
              <w:rPr>
                <w:rFonts w:ascii="宋体" w:eastAsia="宋体" w:hAnsi="宋体" w:cs="Times New Roman" w:hint="eastAsia"/>
                <w:kern w:val="0"/>
                <w:sz w:val="20"/>
                <w:szCs w:val="20"/>
              </w:rPr>
              <w:t>合计</w:t>
            </w:r>
          </w:p>
        </w:tc>
      </w:tr>
      <w:tr w:rsidR="00BA754A" w:rsidRPr="00A214B0" w:rsidTr="00BA754A">
        <w:trPr>
          <w:trHeight w:val="500"/>
        </w:trPr>
        <w:tc>
          <w:tcPr>
            <w:tcW w:w="300" w:type="pct"/>
            <w:vMerge/>
            <w:vAlign w:val="center"/>
            <w:hideMark/>
          </w:tcPr>
          <w:p w:rsidR="00BA754A" w:rsidRPr="00A214B0" w:rsidRDefault="00BA754A" w:rsidP="00BA754A">
            <w:pPr>
              <w:widowControl/>
              <w:jc w:val="center"/>
              <w:rPr>
                <w:rFonts w:ascii="Arial Narrow" w:eastAsia="宋体" w:hAnsi="Arial Narrow" w:cs="Times New Roman"/>
                <w:kern w:val="0"/>
                <w:sz w:val="20"/>
                <w:szCs w:val="20"/>
              </w:rPr>
            </w:pPr>
          </w:p>
        </w:tc>
        <w:tc>
          <w:tcPr>
            <w:tcW w:w="1606" w:type="pct"/>
            <w:vMerge/>
            <w:vAlign w:val="center"/>
            <w:hideMark/>
          </w:tcPr>
          <w:p w:rsidR="00BA754A" w:rsidRPr="00A214B0" w:rsidRDefault="00BA754A" w:rsidP="00BA754A">
            <w:pPr>
              <w:widowControl/>
              <w:jc w:val="center"/>
              <w:rPr>
                <w:rFonts w:ascii="Arial Narrow" w:eastAsia="宋体" w:hAnsi="Arial Narrow" w:cs="Times New Roman"/>
                <w:kern w:val="0"/>
                <w:sz w:val="20"/>
                <w:szCs w:val="20"/>
              </w:rPr>
            </w:pPr>
          </w:p>
        </w:tc>
        <w:tc>
          <w:tcPr>
            <w:tcW w:w="828" w:type="pct"/>
            <w:vMerge/>
            <w:vAlign w:val="center"/>
            <w:hideMark/>
          </w:tcPr>
          <w:p w:rsidR="00BA754A" w:rsidRPr="00A214B0" w:rsidRDefault="00BA754A" w:rsidP="00BA754A">
            <w:pPr>
              <w:widowControl/>
              <w:jc w:val="center"/>
              <w:rPr>
                <w:rFonts w:ascii="Arial Narrow" w:eastAsia="宋体" w:hAnsi="Arial Narrow" w:cs="Times New Roman"/>
                <w:kern w:val="0"/>
                <w:sz w:val="20"/>
                <w:szCs w:val="20"/>
              </w:rPr>
            </w:pPr>
          </w:p>
        </w:tc>
        <w:tc>
          <w:tcPr>
            <w:tcW w:w="927" w:type="pct"/>
            <w:vMerge/>
            <w:vAlign w:val="center"/>
            <w:hideMark/>
          </w:tcPr>
          <w:p w:rsidR="00BA754A" w:rsidRPr="00A214B0" w:rsidRDefault="00BA754A" w:rsidP="00BA754A">
            <w:pPr>
              <w:widowControl/>
              <w:jc w:val="center"/>
              <w:rPr>
                <w:rFonts w:ascii="Arial Narrow" w:eastAsia="宋体" w:hAnsi="Arial Narrow" w:cs="Times New Roman"/>
                <w:kern w:val="0"/>
                <w:sz w:val="20"/>
                <w:szCs w:val="20"/>
              </w:rPr>
            </w:pPr>
          </w:p>
        </w:tc>
        <w:tc>
          <w:tcPr>
            <w:tcW w:w="1339" w:type="pct"/>
            <w:vMerge/>
          </w:tcPr>
          <w:p w:rsidR="00BA754A" w:rsidRPr="00A214B0" w:rsidRDefault="00BA754A" w:rsidP="00BA754A">
            <w:pPr>
              <w:widowControl/>
              <w:jc w:val="center"/>
              <w:rPr>
                <w:rFonts w:ascii="宋体" w:eastAsia="宋体" w:hAnsi="宋体" w:cs="Times New Roman"/>
                <w:kern w:val="0"/>
                <w:sz w:val="20"/>
                <w:szCs w:val="20"/>
              </w:rPr>
            </w:pPr>
          </w:p>
        </w:tc>
      </w:tr>
      <w:tr w:rsidR="00BA754A" w:rsidRPr="00A214B0" w:rsidTr="00BA754A">
        <w:trPr>
          <w:trHeight w:val="315"/>
        </w:trPr>
        <w:tc>
          <w:tcPr>
            <w:tcW w:w="300"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1</w:t>
            </w:r>
          </w:p>
        </w:tc>
        <w:tc>
          <w:tcPr>
            <w:tcW w:w="1606"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库区零星土建工程</w:t>
            </w:r>
          </w:p>
        </w:tc>
        <w:tc>
          <w:tcPr>
            <w:tcW w:w="828"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2018-04</w:t>
            </w:r>
          </w:p>
        </w:tc>
        <w:tc>
          <w:tcPr>
            <w:tcW w:w="927"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2019-12</w:t>
            </w:r>
          </w:p>
        </w:tc>
        <w:tc>
          <w:tcPr>
            <w:tcW w:w="1339" w:type="pct"/>
            <w:vAlign w:val="center"/>
          </w:tcPr>
          <w:p w:rsidR="00BA754A" w:rsidRPr="00A214B0" w:rsidRDefault="00BA754A" w:rsidP="007139E2">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179,231.06</w:t>
            </w:r>
          </w:p>
        </w:tc>
      </w:tr>
      <w:tr w:rsidR="00BA754A" w:rsidRPr="00A214B0" w:rsidTr="00BA754A">
        <w:trPr>
          <w:trHeight w:val="315"/>
        </w:trPr>
        <w:tc>
          <w:tcPr>
            <w:tcW w:w="300"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2</w:t>
            </w:r>
          </w:p>
        </w:tc>
        <w:tc>
          <w:tcPr>
            <w:tcW w:w="1606"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环保型混合芳烃装车尾气综合处理回收工艺的研发</w:t>
            </w:r>
          </w:p>
        </w:tc>
        <w:tc>
          <w:tcPr>
            <w:tcW w:w="828"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2017-06</w:t>
            </w:r>
          </w:p>
        </w:tc>
        <w:tc>
          <w:tcPr>
            <w:tcW w:w="927"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2019-12</w:t>
            </w:r>
          </w:p>
        </w:tc>
        <w:tc>
          <w:tcPr>
            <w:tcW w:w="1339" w:type="pct"/>
            <w:vAlign w:val="center"/>
          </w:tcPr>
          <w:p w:rsidR="00BA754A" w:rsidRPr="00A214B0" w:rsidRDefault="00BA754A" w:rsidP="007139E2">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4,256,692.63</w:t>
            </w:r>
          </w:p>
        </w:tc>
      </w:tr>
      <w:tr w:rsidR="00BA754A" w:rsidRPr="00A214B0" w:rsidTr="00BA754A">
        <w:trPr>
          <w:trHeight w:val="315"/>
        </w:trPr>
        <w:tc>
          <w:tcPr>
            <w:tcW w:w="300"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3</w:t>
            </w:r>
          </w:p>
        </w:tc>
        <w:tc>
          <w:tcPr>
            <w:tcW w:w="1606"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尾气回收处理工程</w:t>
            </w:r>
          </w:p>
        </w:tc>
        <w:tc>
          <w:tcPr>
            <w:tcW w:w="828"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2017-12</w:t>
            </w:r>
          </w:p>
        </w:tc>
        <w:tc>
          <w:tcPr>
            <w:tcW w:w="927"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2019-12</w:t>
            </w:r>
          </w:p>
        </w:tc>
        <w:tc>
          <w:tcPr>
            <w:tcW w:w="1339" w:type="pct"/>
            <w:vAlign w:val="center"/>
          </w:tcPr>
          <w:p w:rsidR="00BA754A" w:rsidRPr="00A214B0" w:rsidRDefault="00BA754A" w:rsidP="007139E2">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2,680,579.91</w:t>
            </w:r>
          </w:p>
        </w:tc>
      </w:tr>
      <w:tr w:rsidR="00BA754A" w:rsidRPr="00A214B0" w:rsidTr="00BA754A">
        <w:trPr>
          <w:trHeight w:val="315"/>
        </w:trPr>
        <w:tc>
          <w:tcPr>
            <w:tcW w:w="300"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4</w:t>
            </w:r>
          </w:p>
        </w:tc>
        <w:tc>
          <w:tcPr>
            <w:tcW w:w="1606" w:type="pct"/>
            <w:shd w:val="clear" w:color="auto" w:fill="auto"/>
            <w:noWrap/>
            <w:vAlign w:val="center"/>
            <w:hideMark/>
          </w:tcPr>
          <w:p w:rsidR="00BA754A" w:rsidRPr="00A214B0" w:rsidRDefault="00BA754A" w:rsidP="00BA754A">
            <w:pPr>
              <w:widowControl/>
              <w:jc w:val="center"/>
              <w:rPr>
                <w:rFonts w:ascii="宋体" w:eastAsia="宋体" w:hAnsi="宋体" w:cs="Times New Roman"/>
                <w:kern w:val="0"/>
                <w:sz w:val="20"/>
                <w:szCs w:val="20"/>
              </w:rPr>
            </w:pPr>
            <w:r w:rsidRPr="00A214B0">
              <w:rPr>
                <w:rFonts w:ascii="宋体" w:eastAsia="宋体" w:hAnsi="宋体" w:cs="Times New Roman" w:hint="eastAsia"/>
                <w:kern w:val="0"/>
                <w:sz w:val="20"/>
                <w:szCs w:val="20"/>
              </w:rPr>
              <w:t>安全仪表系统工程</w:t>
            </w:r>
          </w:p>
        </w:tc>
        <w:tc>
          <w:tcPr>
            <w:tcW w:w="828"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2017-12</w:t>
            </w:r>
          </w:p>
        </w:tc>
        <w:tc>
          <w:tcPr>
            <w:tcW w:w="927"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2019-12</w:t>
            </w:r>
          </w:p>
        </w:tc>
        <w:tc>
          <w:tcPr>
            <w:tcW w:w="1339" w:type="pct"/>
            <w:vAlign w:val="center"/>
          </w:tcPr>
          <w:p w:rsidR="00BA754A" w:rsidRPr="00A214B0" w:rsidRDefault="00BA754A" w:rsidP="007139E2">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64,150.94</w:t>
            </w:r>
          </w:p>
        </w:tc>
      </w:tr>
      <w:tr w:rsidR="00BA754A" w:rsidRPr="00A214B0" w:rsidTr="00BA754A">
        <w:trPr>
          <w:trHeight w:val="315"/>
        </w:trPr>
        <w:tc>
          <w:tcPr>
            <w:tcW w:w="300"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5</w:t>
            </w:r>
          </w:p>
        </w:tc>
        <w:tc>
          <w:tcPr>
            <w:tcW w:w="1606" w:type="pct"/>
            <w:shd w:val="clear" w:color="auto" w:fill="auto"/>
            <w:noWrap/>
            <w:vAlign w:val="center"/>
            <w:hideMark/>
          </w:tcPr>
          <w:p w:rsidR="00BA754A" w:rsidRPr="00A214B0" w:rsidRDefault="00BA754A" w:rsidP="00BA754A">
            <w:pPr>
              <w:widowControl/>
              <w:jc w:val="center"/>
              <w:rPr>
                <w:rFonts w:ascii="Arial Narrow" w:eastAsia="宋体" w:hAnsi="Arial Narrow" w:cs="Times New Roman"/>
                <w:kern w:val="0"/>
                <w:sz w:val="20"/>
                <w:szCs w:val="20"/>
              </w:rPr>
            </w:pPr>
            <w:r w:rsidRPr="00A214B0">
              <w:rPr>
                <w:rFonts w:ascii="宋体" w:eastAsia="宋体" w:hAnsi="宋体" w:cs="Times New Roman" w:hint="eastAsia"/>
                <w:kern w:val="0"/>
                <w:sz w:val="20"/>
                <w:szCs w:val="20"/>
              </w:rPr>
              <w:t>蒸汽管网及电伴热技术改造</w:t>
            </w:r>
          </w:p>
        </w:tc>
        <w:tc>
          <w:tcPr>
            <w:tcW w:w="828"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2017-12</w:t>
            </w:r>
          </w:p>
        </w:tc>
        <w:tc>
          <w:tcPr>
            <w:tcW w:w="927" w:type="pct"/>
            <w:shd w:val="clear" w:color="auto" w:fill="auto"/>
            <w:noWrap/>
            <w:vAlign w:val="center"/>
            <w:hideMark/>
          </w:tcPr>
          <w:p w:rsidR="00BA754A" w:rsidRPr="00A214B0" w:rsidRDefault="00BA754A" w:rsidP="00BA754A">
            <w:pPr>
              <w:widowControl/>
              <w:jc w:val="center"/>
              <w:rPr>
                <w:rFonts w:ascii="Times New Roman" w:eastAsia="宋体" w:hAnsi="Times New Roman" w:cs="Times New Roman"/>
                <w:kern w:val="0"/>
                <w:sz w:val="20"/>
                <w:szCs w:val="20"/>
              </w:rPr>
            </w:pPr>
            <w:r w:rsidRPr="00A214B0">
              <w:rPr>
                <w:rFonts w:ascii="Times New Roman" w:eastAsia="宋体" w:hAnsi="Times New Roman" w:cs="Times New Roman"/>
                <w:kern w:val="0"/>
                <w:sz w:val="20"/>
                <w:szCs w:val="20"/>
              </w:rPr>
              <w:t>2019-12</w:t>
            </w:r>
          </w:p>
        </w:tc>
        <w:tc>
          <w:tcPr>
            <w:tcW w:w="1339" w:type="pct"/>
            <w:vAlign w:val="center"/>
          </w:tcPr>
          <w:p w:rsidR="00BA754A" w:rsidRPr="00A214B0" w:rsidRDefault="00BA754A" w:rsidP="007139E2">
            <w:pPr>
              <w:widowControl/>
              <w:jc w:val="center"/>
              <w:rPr>
                <w:rFonts w:ascii="Arial Narrow" w:eastAsia="宋体" w:hAnsi="Arial Narrow" w:cs="Times New Roman"/>
                <w:kern w:val="0"/>
                <w:sz w:val="20"/>
                <w:szCs w:val="20"/>
              </w:rPr>
            </w:pPr>
            <w:r w:rsidRPr="00A214B0">
              <w:rPr>
                <w:rFonts w:ascii="Arial Narrow" w:eastAsia="宋体" w:hAnsi="Arial Narrow" w:cs="Times New Roman"/>
                <w:kern w:val="0"/>
                <w:sz w:val="20"/>
                <w:szCs w:val="20"/>
              </w:rPr>
              <w:t>1,084,768.78</w:t>
            </w:r>
          </w:p>
        </w:tc>
      </w:tr>
    </w:tbl>
    <w:p w:rsidR="00BA754A" w:rsidRPr="00A214B0" w:rsidRDefault="00BA754A" w:rsidP="00BA754A">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p>
    <w:p w:rsidR="00D56508" w:rsidRPr="00A214B0" w:rsidRDefault="00F1265B" w:rsidP="00BA754A">
      <w:pPr>
        <w:autoSpaceDE w:val="0"/>
        <w:autoSpaceDN w:val="0"/>
        <w:adjustRightInd w:val="0"/>
        <w:snapToGrid w:val="0"/>
        <w:spacing w:line="360" w:lineRule="auto"/>
        <w:ind w:firstLineChars="200" w:firstLine="480"/>
        <w:rPr>
          <w:rFonts w:ascii="Times New Roman" w:hAnsi="Times New Roman" w:cs="Times New Roman"/>
          <w:color w:val="000000" w:themeColor="text1"/>
          <w:kern w:val="0"/>
          <w:sz w:val="24"/>
          <w:szCs w:val="24"/>
        </w:rPr>
      </w:pPr>
      <w:r w:rsidRPr="00A214B0">
        <w:rPr>
          <w:rFonts w:ascii="Times New Roman" w:hAnsi="Times New Roman" w:cs="Times New Roman"/>
          <w:color w:val="000000" w:themeColor="text1"/>
          <w:kern w:val="0"/>
          <w:sz w:val="24"/>
          <w:szCs w:val="24"/>
        </w:rPr>
        <w:t>评估人员在现场核实了相关明细账、入账凭证等，查看了在建工程的实物，与项目工程技术人员等相关人员进行了座谈，确认委估的在建工程项目进度基本上是按计划进行的，实物质量达到了设计要求，实际支付情况与账面相符，基本反映了评估基准日的购建成本。以核实后的账面值确定评估值。</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kern w:val="0"/>
          <w:sz w:val="24"/>
          <w:szCs w:val="24"/>
        </w:rPr>
        <w:t>经评估，</w:t>
      </w:r>
      <w:r w:rsidRPr="00A214B0">
        <w:rPr>
          <w:rFonts w:ascii="Times New Roman" w:hAnsi="Times New Roman" w:cs="Times New Roman"/>
          <w:color w:val="000000" w:themeColor="text1"/>
          <w:sz w:val="24"/>
        </w:rPr>
        <w:t>在建工程评估值为</w:t>
      </w:r>
      <w:r w:rsidRPr="00A214B0">
        <w:rPr>
          <w:rFonts w:ascii="Times New Roman" w:hAnsi="Times New Roman" w:cs="Times New Roman"/>
          <w:color w:val="000000" w:themeColor="text1"/>
          <w:kern w:val="0"/>
          <w:sz w:val="24"/>
          <w:szCs w:val="24"/>
        </w:rPr>
        <w:t xml:space="preserve"> 8,265,423.32 </w:t>
      </w:r>
      <w:r w:rsidRPr="00A214B0">
        <w:rPr>
          <w:rFonts w:ascii="Times New Roman" w:hAnsi="Times New Roman" w:cs="Times New Roman"/>
          <w:color w:val="000000" w:themeColor="text1"/>
          <w:sz w:val="24"/>
        </w:rPr>
        <w:t>元。</w:t>
      </w:r>
    </w:p>
    <w:p w:rsidR="00D56508" w:rsidRPr="00A214B0" w:rsidRDefault="00F1265B">
      <w:pPr>
        <w:pStyle w:val="a1"/>
        <w:adjustRightInd w:val="0"/>
        <w:snapToGrid w:val="0"/>
        <w:spacing w:line="360" w:lineRule="auto"/>
        <w:ind w:firstLineChars="200" w:firstLine="480"/>
        <w:outlineLvl w:val="1"/>
        <w:rPr>
          <w:color w:val="000000" w:themeColor="text1"/>
          <w:lang w:val="en-US"/>
        </w:rPr>
      </w:pPr>
      <w:bookmarkStart w:id="75" w:name="_Toc30216"/>
      <w:r w:rsidRPr="00A214B0">
        <w:rPr>
          <w:color w:val="000000" w:themeColor="text1"/>
          <w:lang w:val="en-US"/>
        </w:rPr>
        <w:t>（五）无形资产</w:t>
      </w:r>
      <w:r w:rsidRPr="00A214B0">
        <w:rPr>
          <w:color w:val="000000" w:themeColor="text1"/>
          <w:lang w:val="en-US"/>
        </w:rPr>
        <w:t>-</w:t>
      </w:r>
      <w:r w:rsidRPr="00A214B0">
        <w:rPr>
          <w:color w:val="000000" w:themeColor="text1"/>
          <w:lang w:val="en-US"/>
        </w:rPr>
        <w:t>土地使用权评估说明</w:t>
      </w:r>
      <w:bookmarkEnd w:id="75"/>
    </w:p>
    <w:p w:rsidR="00D56508" w:rsidRPr="00A214B0" w:rsidRDefault="00F1265B">
      <w:pPr>
        <w:autoSpaceDE w:val="0"/>
        <w:autoSpaceDN w:val="0"/>
        <w:adjustRightInd w:val="0"/>
        <w:snapToGrid w:val="0"/>
        <w:spacing w:line="360" w:lineRule="auto"/>
        <w:ind w:firstLineChars="200" w:firstLine="480"/>
        <w:jc w:val="left"/>
        <w:outlineLvl w:val="2"/>
        <w:rPr>
          <w:rFonts w:ascii="Times New Roman" w:hAnsi="Times New Roman" w:cs="Times New Roman"/>
          <w:bCs/>
          <w:color w:val="000000" w:themeColor="text1"/>
          <w:sz w:val="24"/>
          <w:szCs w:val="24"/>
        </w:rPr>
      </w:pPr>
      <w:bookmarkStart w:id="76" w:name="_Toc2099"/>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）概况</w:t>
      </w:r>
      <w:bookmarkEnd w:id="76"/>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评估基准日，评估范围内的土地使用权共三宗，以出让方式取得。委估宗地概括如下：</w:t>
      </w:r>
    </w:p>
    <w:p w:rsidR="00D56508" w:rsidRPr="00A214B0" w:rsidRDefault="00F1265B">
      <w:pPr>
        <w:autoSpaceDE w:val="0"/>
        <w:autoSpaceDN w:val="0"/>
        <w:adjustRightInd w:val="0"/>
        <w:snapToGrid w:val="0"/>
        <w:spacing w:line="360" w:lineRule="auto"/>
        <w:ind w:firstLineChars="200" w:firstLine="480"/>
        <w:jc w:val="left"/>
        <w:outlineLvl w:val="3"/>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）土地登记及权利状况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本次评估的土地，为江苏海企化工仓储股份有限公司合法拥有的、位于江苏省泰州市高港区永安洲镇疏港一路</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号的工业用地，宗地登记情况如下表：</w:t>
      </w:r>
    </w:p>
    <w:tbl>
      <w:tblPr>
        <w:tblW w:w="9049" w:type="dxa"/>
        <w:jc w:val="center"/>
        <w:tblLayout w:type="fixed"/>
        <w:tblLook w:val="04A0" w:firstRow="1" w:lastRow="0" w:firstColumn="1" w:lastColumn="0" w:noHBand="0" w:noVBand="1"/>
      </w:tblPr>
      <w:tblGrid>
        <w:gridCol w:w="544"/>
        <w:gridCol w:w="1110"/>
        <w:gridCol w:w="725"/>
        <w:gridCol w:w="1277"/>
        <w:gridCol w:w="820"/>
        <w:gridCol w:w="1044"/>
        <w:gridCol w:w="1051"/>
        <w:gridCol w:w="638"/>
        <w:gridCol w:w="731"/>
        <w:gridCol w:w="1109"/>
      </w:tblGrid>
      <w:tr w:rsidR="00D56508" w:rsidRPr="00A214B0">
        <w:trPr>
          <w:trHeight w:val="20"/>
          <w:tblHeader/>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序号</w:t>
            </w:r>
          </w:p>
        </w:tc>
        <w:tc>
          <w:tcPr>
            <w:tcW w:w="111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土地权证编号</w:t>
            </w:r>
          </w:p>
        </w:tc>
        <w:tc>
          <w:tcPr>
            <w:tcW w:w="725"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宗地名称</w:t>
            </w:r>
          </w:p>
        </w:tc>
        <w:tc>
          <w:tcPr>
            <w:tcW w:w="127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土地位置</w:t>
            </w:r>
          </w:p>
        </w:tc>
        <w:tc>
          <w:tcPr>
            <w:tcW w:w="82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使用权类型</w:t>
            </w:r>
          </w:p>
        </w:tc>
        <w:tc>
          <w:tcPr>
            <w:tcW w:w="104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地类（用途）</w:t>
            </w:r>
          </w:p>
        </w:tc>
        <w:tc>
          <w:tcPr>
            <w:tcW w:w="105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终止日期</w:t>
            </w:r>
          </w:p>
        </w:tc>
        <w:tc>
          <w:tcPr>
            <w:tcW w:w="63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准用年限</w:t>
            </w:r>
          </w:p>
        </w:tc>
        <w:tc>
          <w:tcPr>
            <w:tcW w:w="73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开发程度</w:t>
            </w:r>
          </w:p>
        </w:tc>
        <w:tc>
          <w:tcPr>
            <w:tcW w:w="1109"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面积</w:t>
            </w:r>
            <w:r w:rsidRPr="00A214B0">
              <w:rPr>
                <w:rFonts w:ascii="Times New Roman" w:hAnsi="Times New Roman" w:cs="Times New Roman"/>
                <w:b/>
                <w:bCs/>
                <w:color w:val="000000" w:themeColor="text1"/>
                <w:kern w:val="0"/>
                <w:sz w:val="18"/>
                <w:szCs w:val="18"/>
              </w:rPr>
              <w:t>(m</w:t>
            </w:r>
            <w:r w:rsidRPr="00A214B0">
              <w:rPr>
                <w:rFonts w:ascii="Times New Roman" w:hAnsi="Times New Roman" w:cs="Times New Roman"/>
                <w:b/>
                <w:bCs/>
                <w:color w:val="000000" w:themeColor="text1"/>
                <w:kern w:val="0"/>
                <w:sz w:val="18"/>
                <w:szCs w:val="18"/>
                <w:vertAlign w:val="superscript"/>
              </w:rPr>
              <w:t>2</w:t>
            </w:r>
            <w:r w:rsidRPr="00A214B0">
              <w:rPr>
                <w:rFonts w:ascii="Times New Roman" w:hAnsi="Times New Roman" w:cs="Times New Roman"/>
                <w:b/>
                <w:bCs/>
                <w:color w:val="000000" w:themeColor="text1"/>
                <w:kern w:val="0"/>
                <w:sz w:val="18"/>
                <w:szCs w:val="18"/>
              </w:rPr>
              <w:t>)</w:t>
            </w:r>
          </w:p>
        </w:tc>
      </w:tr>
      <w:tr w:rsidR="00D56508" w:rsidRPr="00A214B0">
        <w:trPr>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11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泰州国用（</w:t>
            </w:r>
            <w:r w:rsidRPr="00A214B0">
              <w:rPr>
                <w:rFonts w:ascii="Times New Roman" w:hAnsi="Times New Roman" w:cs="Times New Roman"/>
                <w:color w:val="000000" w:themeColor="text1"/>
                <w:kern w:val="0"/>
                <w:sz w:val="18"/>
                <w:szCs w:val="18"/>
              </w:rPr>
              <w:t>2014</w:t>
            </w:r>
            <w:r w:rsidRPr="00A214B0">
              <w:rPr>
                <w:rFonts w:ascii="Times New Roman" w:hAnsi="Times New Roman" w:cs="Times New Roman"/>
                <w:color w:val="000000" w:themeColor="text1"/>
                <w:kern w:val="0"/>
                <w:sz w:val="18"/>
                <w:szCs w:val="18"/>
              </w:rPr>
              <w:t>）第</w:t>
            </w:r>
            <w:r w:rsidRPr="00A214B0">
              <w:rPr>
                <w:rFonts w:ascii="Times New Roman" w:hAnsi="Times New Roman" w:cs="Times New Roman"/>
                <w:color w:val="000000" w:themeColor="text1"/>
                <w:kern w:val="0"/>
                <w:sz w:val="18"/>
                <w:szCs w:val="18"/>
              </w:rPr>
              <w:t>808</w:t>
            </w:r>
            <w:r w:rsidRPr="00A214B0">
              <w:rPr>
                <w:rFonts w:ascii="Times New Roman" w:hAnsi="Times New Roman" w:cs="Times New Roman"/>
                <w:color w:val="000000" w:themeColor="text1"/>
                <w:kern w:val="0"/>
                <w:sz w:val="18"/>
                <w:szCs w:val="18"/>
              </w:rPr>
              <w:t>号</w:t>
            </w:r>
          </w:p>
        </w:tc>
        <w:tc>
          <w:tcPr>
            <w:tcW w:w="725"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一期土地</w:t>
            </w:r>
          </w:p>
        </w:tc>
        <w:tc>
          <w:tcPr>
            <w:tcW w:w="127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8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出让</w:t>
            </w:r>
          </w:p>
        </w:tc>
        <w:tc>
          <w:tcPr>
            <w:tcW w:w="10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工业用地</w:t>
            </w:r>
          </w:p>
        </w:tc>
        <w:tc>
          <w:tcPr>
            <w:tcW w:w="105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2056/1/31</w:t>
            </w:r>
          </w:p>
        </w:tc>
        <w:tc>
          <w:tcPr>
            <w:tcW w:w="63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c>
          <w:tcPr>
            <w:tcW w:w="73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五通一平</w:t>
            </w:r>
          </w:p>
        </w:tc>
        <w:tc>
          <w:tcPr>
            <w:tcW w:w="110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96,759.00 </w:t>
            </w:r>
          </w:p>
        </w:tc>
      </w:tr>
      <w:tr w:rsidR="00D56508" w:rsidRPr="00A214B0">
        <w:trPr>
          <w:cantSplit/>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111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苏（</w:t>
            </w:r>
            <w:r w:rsidRPr="00A214B0">
              <w:rPr>
                <w:rFonts w:ascii="Times New Roman" w:hAnsi="Times New Roman" w:cs="Times New Roman"/>
                <w:color w:val="000000" w:themeColor="text1"/>
                <w:kern w:val="0"/>
                <w:sz w:val="18"/>
                <w:szCs w:val="18"/>
              </w:rPr>
              <w:t>2017</w:t>
            </w:r>
            <w:r w:rsidRPr="00A214B0">
              <w:rPr>
                <w:rFonts w:ascii="Times New Roman" w:hAnsi="Times New Roman" w:cs="Times New Roman"/>
                <w:color w:val="000000" w:themeColor="text1"/>
                <w:kern w:val="0"/>
                <w:sz w:val="18"/>
                <w:szCs w:val="18"/>
              </w:rPr>
              <w:t>）泰州不动产权第</w:t>
            </w:r>
            <w:r w:rsidRPr="00A214B0">
              <w:rPr>
                <w:rFonts w:ascii="Times New Roman" w:hAnsi="Times New Roman" w:cs="Times New Roman"/>
                <w:color w:val="000000" w:themeColor="text1"/>
                <w:kern w:val="0"/>
                <w:sz w:val="18"/>
                <w:szCs w:val="18"/>
              </w:rPr>
              <w:t>0026145</w:t>
            </w:r>
            <w:r w:rsidRPr="00A214B0">
              <w:rPr>
                <w:rFonts w:ascii="Times New Roman" w:hAnsi="Times New Roman" w:cs="Times New Roman"/>
                <w:color w:val="000000" w:themeColor="text1"/>
                <w:kern w:val="0"/>
                <w:sz w:val="18"/>
                <w:szCs w:val="18"/>
              </w:rPr>
              <w:t>号</w:t>
            </w:r>
          </w:p>
        </w:tc>
        <w:tc>
          <w:tcPr>
            <w:tcW w:w="725"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二期土地</w:t>
            </w:r>
            <w:r w:rsidRPr="00A214B0">
              <w:rPr>
                <w:rFonts w:ascii="Times New Roman" w:hAnsi="Times New Roman" w:cs="Times New Roman"/>
                <w:color w:val="000000" w:themeColor="text1"/>
                <w:kern w:val="0"/>
                <w:sz w:val="18"/>
                <w:szCs w:val="18"/>
              </w:rPr>
              <w:t>B</w:t>
            </w:r>
          </w:p>
        </w:tc>
        <w:tc>
          <w:tcPr>
            <w:tcW w:w="127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高港区永安洲镇疏港一路</w:t>
            </w:r>
            <w:r w:rsidRPr="00A214B0">
              <w:rPr>
                <w:rFonts w:ascii="Times New Roman" w:hAnsi="Times New Roman" w:cs="Times New Roman"/>
                <w:color w:val="000000" w:themeColor="text1"/>
                <w:kern w:val="0"/>
                <w:sz w:val="18"/>
                <w:szCs w:val="18"/>
              </w:rPr>
              <w:t>1</w:t>
            </w:r>
            <w:r w:rsidRPr="00A214B0">
              <w:rPr>
                <w:rFonts w:ascii="Times New Roman" w:hAnsi="Times New Roman" w:cs="Times New Roman"/>
                <w:color w:val="000000" w:themeColor="text1"/>
                <w:kern w:val="0"/>
                <w:sz w:val="18"/>
                <w:szCs w:val="18"/>
              </w:rPr>
              <w:t>号</w:t>
            </w:r>
          </w:p>
        </w:tc>
        <w:tc>
          <w:tcPr>
            <w:tcW w:w="8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出让</w:t>
            </w:r>
          </w:p>
        </w:tc>
        <w:tc>
          <w:tcPr>
            <w:tcW w:w="10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工业用地</w:t>
            </w:r>
          </w:p>
        </w:tc>
        <w:tc>
          <w:tcPr>
            <w:tcW w:w="105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2061/4/30</w:t>
            </w:r>
          </w:p>
        </w:tc>
        <w:tc>
          <w:tcPr>
            <w:tcW w:w="63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c>
          <w:tcPr>
            <w:tcW w:w="73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五通一平</w:t>
            </w:r>
          </w:p>
        </w:tc>
        <w:tc>
          <w:tcPr>
            <w:tcW w:w="110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73,466.00 </w:t>
            </w:r>
          </w:p>
        </w:tc>
      </w:tr>
      <w:tr w:rsidR="00D56508" w:rsidRPr="00A214B0">
        <w:trPr>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111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泰州国用（</w:t>
            </w:r>
            <w:r w:rsidRPr="00A214B0">
              <w:rPr>
                <w:rFonts w:ascii="Times New Roman" w:hAnsi="Times New Roman" w:cs="Times New Roman"/>
                <w:color w:val="000000" w:themeColor="text1"/>
                <w:kern w:val="0"/>
                <w:sz w:val="18"/>
                <w:szCs w:val="18"/>
              </w:rPr>
              <w:t>2014</w:t>
            </w:r>
            <w:r w:rsidRPr="00A214B0">
              <w:rPr>
                <w:rFonts w:ascii="Times New Roman" w:hAnsi="Times New Roman" w:cs="Times New Roman"/>
                <w:color w:val="000000" w:themeColor="text1"/>
                <w:kern w:val="0"/>
                <w:sz w:val="18"/>
                <w:szCs w:val="18"/>
              </w:rPr>
              <w:t>）第</w:t>
            </w:r>
            <w:r w:rsidRPr="00A214B0">
              <w:rPr>
                <w:rFonts w:ascii="Times New Roman" w:hAnsi="Times New Roman" w:cs="Times New Roman"/>
                <w:color w:val="000000" w:themeColor="text1"/>
                <w:kern w:val="0"/>
                <w:sz w:val="18"/>
                <w:szCs w:val="18"/>
              </w:rPr>
              <w:t>1188</w:t>
            </w:r>
            <w:r w:rsidRPr="00A214B0">
              <w:rPr>
                <w:rFonts w:ascii="Times New Roman" w:hAnsi="Times New Roman" w:cs="Times New Roman"/>
                <w:color w:val="000000" w:themeColor="text1"/>
                <w:kern w:val="0"/>
                <w:sz w:val="18"/>
                <w:szCs w:val="18"/>
              </w:rPr>
              <w:t>号</w:t>
            </w:r>
          </w:p>
        </w:tc>
        <w:tc>
          <w:tcPr>
            <w:tcW w:w="725"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二期土地</w:t>
            </w:r>
            <w:r w:rsidRPr="00A214B0">
              <w:rPr>
                <w:rFonts w:ascii="Times New Roman" w:hAnsi="Times New Roman" w:cs="Times New Roman"/>
                <w:color w:val="000000" w:themeColor="text1"/>
                <w:kern w:val="0"/>
                <w:sz w:val="18"/>
                <w:szCs w:val="18"/>
              </w:rPr>
              <w:t>A</w:t>
            </w:r>
          </w:p>
        </w:tc>
        <w:tc>
          <w:tcPr>
            <w:tcW w:w="1277"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8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出让</w:t>
            </w:r>
          </w:p>
        </w:tc>
        <w:tc>
          <w:tcPr>
            <w:tcW w:w="10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工业用地</w:t>
            </w:r>
          </w:p>
        </w:tc>
        <w:tc>
          <w:tcPr>
            <w:tcW w:w="105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2061/4/30</w:t>
            </w:r>
          </w:p>
        </w:tc>
        <w:tc>
          <w:tcPr>
            <w:tcW w:w="63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50</w:t>
            </w:r>
          </w:p>
        </w:tc>
        <w:tc>
          <w:tcPr>
            <w:tcW w:w="731"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五通一平</w:t>
            </w:r>
          </w:p>
        </w:tc>
        <w:tc>
          <w:tcPr>
            <w:tcW w:w="110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5,366.00 </w:t>
            </w:r>
          </w:p>
        </w:tc>
      </w:tr>
    </w:tbl>
    <w:p w:rsidR="00D56508" w:rsidRPr="00A214B0" w:rsidRDefault="00F1265B">
      <w:pPr>
        <w:autoSpaceDE w:val="0"/>
        <w:autoSpaceDN w:val="0"/>
        <w:adjustRightInd w:val="0"/>
        <w:snapToGrid w:val="0"/>
        <w:spacing w:beforeLines="50" w:before="250" w:line="360" w:lineRule="auto"/>
        <w:ind w:firstLineChars="200" w:firstLine="480"/>
        <w:jc w:val="left"/>
        <w:outlineLvl w:val="3"/>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2</w:t>
      </w:r>
      <w:r w:rsidRPr="00A214B0">
        <w:rPr>
          <w:rFonts w:ascii="Times New Roman" w:hAnsi="Times New Roman" w:cs="Times New Roman"/>
          <w:bCs/>
          <w:color w:val="000000" w:themeColor="text1"/>
          <w:sz w:val="24"/>
          <w:szCs w:val="24"/>
        </w:rPr>
        <w:t>）土地利用状况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至评估基准日，江苏海企化工仓储股份有限公司合法拥有的、位于江苏省泰州市高港区永安洲镇疏港一路</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号的工业用地，实际用途为工业用地，土地总面积</w:t>
      </w:r>
      <w:r w:rsidRPr="00A214B0">
        <w:rPr>
          <w:rFonts w:ascii="Times New Roman" w:hAnsi="Times New Roman" w:cs="Times New Roman"/>
          <w:bCs/>
          <w:color w:val="000000" w:themeColor="text1"/>
          <w:sz w:val="24"/>
          <w:szCs w:val="24"/>
        </w:rPr>
        <w:t>175,591.00</w:t>
      </w:r>
      <w:r w:rsidRPr="00A214B0">
        <w:rPr>
          <w:rFonts w:ascii="Times New Roman" w:hAnsi="Times New Roman" w:cs="Times New Roman"/>
          <w:bCs/>
          <w:color w:val="000000" w:themeColor="text1"/>
          <w:sz w:val="24"/>
          <w:szCs w:val="24"/>
        </w:rPr>
        <w:t>平方米，地上已建权属为江苏海企化工仓储股份有限公司一期二期的房屋建筑物。</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①</w:t>
      </w:r>
      <w:r w:rsidRPr="00A214B0">
        <w:rPr>
          <w:rFonts w:ascii="Times New Roman" w:hAnsi="Times New Roman" w:cs="Times New Roman"/>
          <w:bCs/>
          <w:color w:val="000000" w:themeColor="text1"/>
          <w:sz w:val="24"/>
          <w:szCs w:val="24"/>
        </w:rPr>
        <w:t>影响地价的因素分析</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A.</w:t>
      </w:r>
      <w:r w:rsidRPr="00A214B0">
        <w:rPr>
          <w:rFonts w:ascii="Times New Roman" w:hAnsi="Times New Roman" w:cs="Times New Roman"/>
          <w:bCs/>
          <w:color w:val="000000" w:themeColor="text1"/>
          <w:sz w:val="24"/>
          <w:szCs w:val="24"/>
        </w:rPr>
        <w:t>一般因素</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影响地价的一般因素主要是指社会、经济、政策和自然因素等诸多方面的综合，其主要包括地区的地理位置及自然条件、基础设施状况、城市经济发展水平、土地利用规划及相关政策等。这些因素通过土地供求两方面的不同作用，从而影响城市总体地价水平的变化。</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地理位置及自然条件</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泰州（</w:t>
      </w:r>
      <w:r w:rsidRPr="00A214B0">
        <w:rPr>
          <w:rFonts w:ascii="Times New Roman" w:hAnsi="Times New Roman" w:cs="Times New Roman"/>
          <w:bCs/>
          <w:color w:val="000000" w:themeColor="text1"/>
          <w:sz w:val="24"/>
          <w:szCs w:val="24"/>
        </w:rPr>
        <w:t>Taizhou</w:t>
      </w:r>
      <w:r w:rsidRPr="00A214B0">
        <w:rPr>
          <w:rFonts w:ascii="Times New Roman" w:hAnsi="Times New Roman" w:cs="Times New Roman"/>
          <w:bCs/>
          <w:color w:val="000000" w:themeColor="text1"/>
          <w:sz w:val="24"/>
          <w:szCs w:val="24"/>
        </w:rPr>
        <w:t>），简称</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泰</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，江苏省地级市，位于江苏省中部。南部濒临长江，北部与盐城毗邻，东临南通，西接扬州。全市总面积</w:t>
      </w:r>
      <w:r w:rsidRPr="00A214B0">
        <w:rPr>
          <w:rFonts w:ascii="Times New Roman" w:hAnsi="Times New Roman" w:cs="Times New Roman"/>
          <w:bCs/>
          <w:color w:val="000000" w:themeColor="text1"/>
          <w:sz w:val="24"/>
          <w:szCs w:val="24"/>
        </w:rPr>
        <w:t>5787.26</w:t>
      </w:r>
      <w:r w:rsidRPr="00A214B0">
        <w:rPr>
          <w:rFonts w:ascii="Times New Roman" w:hAnsi="Times New Roman" w:cs="Times New Roman"/>
          <w:bCs/>
          <w:color w:val="000000" w:themeColor="text1"/>
          <w:sz w:val="24"/>
          <w:szCs w:val="24"/>
        </w:rPr>
        <w:t>平方千米，其中陆地面积占</w:t>
      </w:r>
      <w:r w:rsidRPr="00A214B0">
        <w:rPr>
          <w:rFonts w:ascii="Times New Roman" w:hAnsi="Times New Roman" w:cs="Times New Roman"/>
          <w:bCs/>
          <w:color w:val="000000" w:themeColor="text1"/>
          <w:sz w:val="24"/>
          <w:szCs w:val="24"/>
        </w:rPr>
        <w:t>77.85%</w:t>
      </w:r>
      <w:r w:rsidRPr="00A214B0">
        <w:rPr>
          <w:rFonts w:ascii="Times New Roman" w:hAnsi="Times New Roman" w:cs="Times New Roman"/>
          <w:bCs/>
          <w:color w:val="000000" w:themeColor="text1"/>
          <w:sz w:val="24"/>
          <w:szCs w:val="24"/>
        </w:rPr>
        <w:t>，水域面积占</w:t>
      </w:r>
      <w:r w:rsidRPr="00A214B0">
        <w:rPr>
          <w:rFonts w:ascii="Times New Roman" w:hAnsi="Times New Roman" w:cs="Times New Roman"/>
          <w:bCs/>
          <w:color w:val="000000" w:themeColor="text1"/>
          <w:sz w:val="24"/>
          <w:szCs w:val="24"/>
        </w:rPr>
        <w:t>22.15%</w:t>
      </w:r>
      <w:r w:rsidRPr="00A214B0">
        <w:rPr>
          <w:rFonts w:ascii="Times New Roman" w:hAnsi="Times New Roman" w:cs="Times New Roman"/>
          <w:bCs/>
          <w:color w:val="000000" w:themeColor="text1"/>
          <w:sz w:val="24"/>
          <w:szCs w:val="24"/>
        </w:rPr>
        <w:t>。市区面积</w:t>
      </w:r>
      <w:r w:rsidRPr="00A214B0">
        <w:rPr>
          <w:rFonts w:ascii="Times New Roman" w:hAnsi="Times New Roman" w:cs="Times New Roman"/>
          <w:bCs/>
          <w:color w:val="000000" w:themeColor="text1"/>
          <w:sz w:val="24"/>
          <w:szCs w:val="24"/>
        </w:rPr>
        <w:t>1567.13</w:t>
      </w:r>
      <w:r w:rsidRPr="00A214B0">
        <w:rPr>
          <w:rFonts w:ascii="Times New Roman" w:hAnsi="Times New Roman" w:cs="Times New Roman"/>
          <w:bCs/>
          <w:color w:val="000000" w:themeColor="text1"/>
          <w:sz w:val="24"/>
          <w:szCs w:val="24"/>
        </w:rPr>
        <w:t>平方千米。</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泰州地处江苏中部，位于北纬</w:t>
      </w:r>
      <w:r w:rsidRPr="00A214B0">
        <w:rPr>
          <w:rFonts w:ascii="Times New Roman" w:hAnsi="Times New Roman" w:cs="Times New Roman"/>
          <w:bCs/>
          <w:color w:val="000000" w:themeColor="text1"/>
          <w:sz w:val="24"/>
          <w:szCs w:val="24"/>
        </w:rPr>
        <w:t>32°01′57″~33°10′59″</w:t>
      </w:r>
      <w:r w:rsidRPr="00A214B0">
        <w:rPr>
          <w:rFonts w:ascii="Times New Roman" w:hAnsi="Times New Roman" w:cs="Times New Roman"/>
          <w:bCs/>
          <w:color w:val="000000" w:themeColor="text1"/>
          <w:sz w:val="24"/>
          <w:szCs w:val="24"/>
        </w:rPr>
        <w:t>，东经</w:t>
      </w:r>
      <w:r w:rsidRPr="00A214B0">
        <w:rPr>
          <w:rFonts w:ascii="Times New Roman" w:hAnsi="Times New Roman" w:cs="Times New Roman"/>
          <w:bCs/>
          <w:color w:val="000000" w:themeColor="text1"/>
          <w:sz w:val="24"/>
          <w:szCs w:val="24"/>
        </w:rPr>
        <w:t>119°38′24″~120°32′20″</w:t>
      </w:r>
      <w:r w:rsidRPr="00A214B0">
        <w:rPr>
          <w:rFonts w:ascii="Times New Roman" w:hAnsi="Times New Roman" w:cs="Times New Roman"/>
          <w:bCs/>
          <w:color w:val="000000" w:themeColor="text1"/>
          <w:sz w:val="24"/>
          <w:szCs w:val="24"/>
        </w:rPr>
        <w:t>。西南、南部隔江与镇江、常州、无锡、苏州四市相望，东临南通，西接扬州，东北部、北部与盐城、淮安毗邻，是苏中入江达海</w:t>
      </w:r>
      <w:r w:rsidRPr="00A214B0">
        <w:rPr>
          <w:rFonts w:ascii="Times New Roman" w:hAnsi="Times New Roman" w:cs="Times New Roman"/>
          <w:bCs/>
          <w:color w:val="000000" w:themeColor="text1"/>
          <w:sz w:val="24"/>
          <w:szCs w:val="24"/>
        </w:rPr>
        <w:t>5</w:t>
      </w:r>
      <w:r w:rsidRPr="00A214B0">
        <w:rPr>
          <w:rFonts w:ascii="Times New Roman" w:hAnsi="Times New Roman" w:cs="Times New Roman"/>
          <w:bCs/>
          <w:color w:val="000000" w:themeColor="text1"/>
          <w:sz w:val="24"/>
          <w:szCs w:val="24"/>
        </w:rPr>
        <w:t>条航道的交汇处，是沿海与长江</w:t>
      </w:r>
      <w:r w:rsidRPr="00A214B0">
        <w:rPr>
          <w:rFonts w:ascii="Times New Roman" w:hAnsi="Times New Roman" w:cs="Times New Roman"/>
          <w:bCs/>
          <w:color w:val="000000" w:themeColor="text1"/>
          <w:sz w:val="24"/>
          <w:szCs w:val="24"/>
        </w:rPr>
        <w:t>“T”</w:t>
      </w:r>
      <w:r w:rsidRPr="00A214B0">
        <w:rPr>
          <w:rFonts w:ascii="Times New Roman" w:hAnsi="Times New Roman" w:cs="Times New Roman"/>
          <w:bCs/>
          <w:color w:val="000000" w:themeColor="text1"/>
          <w:sz w:val="24"/>
          <w:szCs w:val="24"/>
        </w:rPr>
        <w:t>型产业带的结合部。</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泰州市在北亚热带湿润气候区，受季风环流的影响，具有明显的季风性特征。这里四季分明，夏季高温多雨，冬季温和少雨，具有无霜期长，热量充裕，降水丰沛，雨热同期等特点。</w:t>
      </w:r>
      <w:r w:rsidRPr="00A214B0">
        <w:rPr>
          <w:rFonts w:ascii="Times New Roman" w:hAnsi="Times New Roman" w:cs="Times New Roman"/>
          <w:bCs/>
          <w:color w:val="000000" w:themeColor="text1"/>
          <w:sz w:val="24"/>
          <w:szCs w:val="24"/>
        </w:rPr>
        <w:t xml:space="preserve">               </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地区基础设施状况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泰州为苏中门户，自古就有</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水陆要津，咽喉据郡</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之称。优越的区位优势，凸显泰州承南启北交通枢纽重要地位。新长、宁启铁路，京沪、盐靖、启扬高速公路纵横全境。</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年，泰州市全年公路客运量</w:t>
      </w:r>
      <w:r w:rsidRPr="00A214B0">
        <w:rPr>
          <w:rFonts w:ascii="Times New Roman" w:hAnsi="Times New Roman" w:cs="Times New Roman"/>
          <w:bCs/>
          <w:color w:val="000000" w:themeColor="text1"/>
          <w:sz w:val="24"/>
          <w:szCs w:val="24"/>
        </w:rPr>
        <w:t>6057</w:t>
      </w:r>
      <w:r w:rsidRPr="00A214B0">
        <w:rPr>
          <w:rFonts w:ascii="Times New Roman" w:hAnsi="Times New Roman" w:cs="Times New Roman"/>
          <w:bCs/>
          <w:color w:val="000000" w:themeColor="text1"/>
          <w:sz w:val="24"/>
          <w:szCs w:val="24"/>
        </w:rPr>
        <w:t>万人，公路客运周转量</w:t>
      </w:r>
      <w:r w:rsidRPr="00A214B0">
        <w:rPr>
          <w:rFonts w:ascii="Times New Roman" w:hAnsi="Times New Roman" w:cs="Times New Roman"/>
          <w:bCs/>
          <w:color w:val="000000" w:themeColor="text1"/>
          <w:sz w:val="24"/>
          <w:szCs w:val="24"/>
        </w:rPr>
        <w:t>41.8</w:t>
      </w:r>
      <w:r w:rsidRPr="00A214B0">
        <w:rPr>
          <w:rFonts w:ascii="Times New Roman" w:hAnsi="Times New Roman" w:cs="Times New Roman"/>
          <w:bCs/>
          <w:color w:val="000000" w:themeColor="text1"/>
          <w:sz w:val="24"/>
          <w:szCs w:val="24"/>
        </w:rPr>
        <w:t>亿人公里。公路货运量</w:t>
      </w:r>
      <w:r w:rsidRPr="00A214B0">
        <w:rPr>
          <w:rFonts w:ascii="Times New Roman" w:hAnsi="Times New Roman" w:cs="Times New Roman"/>
          <w:bCs/>
          <w:color w:val="000000" w:themeColor="text1"/>
          <w:sz w:val="24"/>
          <w:szCs w:val="24"/>
        </w:rPr>
        <w:t>3041</w:t>
      </w:r>
      <w:r w:rsidRPr="00A214B0">
        <w:rPr>
          <w:rFonts w:ascii="Times New Roman" w:hAnsi="Times New Roman" w:cs="Times New Roman"/>
          <w:bCs/>
          <w:color w:val="000000" w:themeColor="text1"/>
          <w:sz w:val="24"/>
          <w:szCs w:val="24"/>
        </w:rPr>
        <w:t>万吨，增长</w:t>
      </w:r>
      <w:r w:rsidRPr="00A214B0">
        <w:rPr>
          <w:rFonts w:ascii="Times New Roman" w:hAnsi="Times New Roman" w:cs="Times New Roman"/>
          <w:bCs/>
          <w:color w:val="000000" w:themeColor="text1"/>
          <w:sz w:val="24"/>
          <w:szCs w:val="24"/>
        </w:rPr>
        <w:t>8.6%</w:t>
      </w:r>
      <w:r w:rsidRPr="00A214B0">
        <w:rPr>
          <w:rFonts w:ascii="Times New Roman" w:hAnsi="Times New Roman" w:cs="Times New Roman"/>
          <w:bCs/>
          <w:color w:val="000000" w:themeColor="text1"/>
          <w:sz w:val="24"/>
          <w:szCs w:val="24"/>
        </w:rPr>
        <w:t>；公路货运周转量</w:t>
      </w:r>
      <w:r w:rsidRPr="00A214B0">
        <w:rPr>
          <w:rFonts w:ascii="Times New Roman" w:hAnsi="Times New Roman" w:cs="Times New Roman"/>
          <w:bCs/>
          <w:color w:val="000000" w:themeColor="text1"/>
          <w:sz w:val="24"/>
          <w:szCs w:val="24"/>
        </w:rPr>
        <w:t>78.4</w:t>
      </w:r>
      <w:r w:rsidRPr="00A214B0">
        <w:rPr>
          <w:rFonts w:ascii="Times New Roman" w:hAnsi="Times New Roman" w:cs="Times New Roman"/>
          <w:bCs/>
          <w:color w:val="000000" w:themeColor="text1"/>
          <w:sz w:val="24"/>
          <w:szCs w:val="24"/>
        </w:rPr>
        <w:t>亿吨公里，增长</w:t>
      </w:r>
      <w:r w:rsidRPr="00A214B0">
        <w:rPr>
          <w:rFonts w:ascii="Times New Roman" w:hAnsi="Times New Roman" w:cs="Times New Roman"/>
          <w:bCs/>
          <w:color w:val="000000" w:themeColor="text1"/>
          <w:sz w:val="24"/>
          <w:szCs w:val="24"/>
        </w:rPr>
        <w:t>7.7%</w:t>
      </w:r>
      <w:r w:rsidRPr="00A214B0">
        <w:rPr>
          <w:rFonts w:ascii="Times New Roman" w:hAnsi="Times New Roman" w:cs="Times New Roman"/>
          <w:bCs/>
          <w:color w:val="000000" w:themeColor="text1"/>
          <w:sz w:val="24"/>
          <w:szCs w:val="24"/>
        </w:rPr>
        <w:t>。水路货运量</w:t>
      </w:r>
      <w:r w:rsidRPr="00A214B0">
        <w:rPr>
          <w:rFonts w:ascii="Times New Roman" w:hAnsi="Times New Roman" w:cs="Times New Roman"/>
          <w:bCs/>
          <w:color w:val="000000" w:themeColor="text1"/>
          <w:sz w:val="24"/>
          <w:szCs w:val="24"/>
        </w:rPr>
        <w:t>18715</w:t>
      </w:r>
      <w:r w:rsidRPr="00A214B0">
        <w:rPr>
          <w:rFonts w:ascii="Times New Roman" w:hAnsi="Times New Roman" w:cs="Times New Roman"/>
          <w:bCs/>
          <w:color w:val="000000" w:themeColor="text1"/>
          <w:sz w:val="24"/>
          <w:szCs w:val="24"/>
        </w:rPr>
        <w:t>万吨，增长</w:t>
      </w:r>
      <w:r w:rsidRPr="00A214B0">
        <w:rPr>
          <w:rFonts w:ascii="Times New Roman" w:hAnsi="Times New Roman" w:cs="Times New Roman"/>
          <w:bCs/>
          <w:color w:val="000000" w:themeColor="text1"/>
          <w:sz w:val="24"/>
          <w:szCs w:val="24"/>
        </w:rPr>
        <w:t>2.7%</w:t>
      </w:r>
      <w:r w:rsidRPr="00A214B0">
        <w:rPr>
          <w:rFonts w:ascii="Times New Roman" w:hAnsi="Times New Roman" w:cs="Times New Roman"/>
          <w:bCs/>
          <w:color w:val="000000" w:themeColor="text1"/>
          <w:sz w:val="24"/>
          <w:szCs w:val="24"/>
        </w:rPr>
        <w:t>；水路货运周转量</w:t>
      </w:r>
      <w:r w:rsidRPr="00A214B0">
        <w:rPr>
          <w:rFonts w:ascii="Times New Roman" w:hAnsi="Times New Roman" w:cs="Times New Roman"/>
          <w:bCs/>
          <w:color w:val="000000" w:themeColor="text1"/>
          <w:sz w:val="24"/>
          <w:szCs w:val="24"/>
        </w:rPr>
        <w:t>851.4</w:t>
      </w:r>
      <w:r w:rsidRPr="00A214B0">
        <w:rPr>
          <w:rFonts w:ascii="Times New Roman" w:hAnsi="Times New Roman" w:cs="Times New Roman"/>
          <w:bCs/>
          <w:color w:val="000000" w:themeColor="text1"/>
          <w:sz w:val="24"/>
          <w:szCs w:val="24"/>
        </w:rPr>
        <w:t>亿吨公里，增长</w:t>
      </w:r>
      <w:r w:rsidRPr="00A214B0">
        <w:rPr>
          <w:rFonts w:ascii="Times New Roman" w:hAnsi="Times New Roman" w:cs="Times New Roman"/>
          <w:bCs/>
          <w:color w:val="000000" w:themeColor="text1"/>
          <w:sz w:val="24"/>
          <w:szCs w:val="24"/>
        </w:rPr>
        <w:t>4.6%</w:t>
      </w:r>
      <w:r w:rsidRPr="00A214B0">
        <w:rPr>
          <w:rFonts w:ascii="Times New Roman" w:hAnsi="Times New Roman" w:cs="Times New Roman"/>
          <w:bCs/>
          <w:color w:val="000000" w:themeColor="text1"/>
          <w:sz w:val="24"/>
          <w:szCs w:val="24"/>
        </w:rPr>
        <w:t>。港口货物吞吐量</w:t>
      </w:r>
      <w:r w:rsidRPr="00A214B0">
        <w:rPr>
          <w:rFonts w:ascii="Times New Roman" w:hAnsi="Times New Roman" w:cs="Times New Roman"/>
          <w:bCs/>
          <w:color w:val="000000" w:themeColor="text1"/>
          <w:sz w:val="24"/>
          <w:szCs w:val="24"/>
        </w:rPr>
        <w:t>2.62</w:t>
      </w:r>
      <w:r w:rsidRPr="00A214B0">
        <w:rPr>
          <w:rFonts w:ascii="Times New Roman" w:hAnsi="Times New Roman" w:cs="Times New Roman"/>
          <w:bCs/>
          <w:color w:val="000000" w:themeColor="text1"/>
          <w:sz w:val="24"/>
          <w:szCs w:val="24"/>
        </w:rPr>
        <w:t>亿吨，增长</w:t>
      </w:r>
      <w:r w:rsidRPr="00A214B0">
        <w:rPr>
          <w:rFonts w:ascii="Times New Roman" w:hAnsi="Times New Roman" w:cs="Times New Roman"/>
          <w:bCs/>
          <w:color w:val="000000" w:themeColor="text1"/>
          <w:sz w:val="24"/>
          <w:szCs w:val="24"/>
        </w:rPr>
        <w:t>21.0%</w:t>
      </w:r>
      <w:r w:rsidRPr="00A214B0">
        <w:rPr>
          <w:rFonts w:ascii="Times New Roman" w:hAnsi="Times New Roman" w:cs="Times New Roman"/>
          <w:bCs/>
          <w:color w:val="000000" w:themeColor="text1"/>
          <w:sz w:val="24"/>
          <w:szCs w:val="24"/>
        </w:rPr>
        <w:t>，其中外贸吞吐量</w:t>
      </w:r>
      <w:r w:rsidRPr="00A214B0">
        <w:rPr>
          <w:rFonts w:ascii="Times New Roman" w:hAnsi="Times New Roman" w:cs="Times New Roman"/>
          <w:bCs/>
          <w:color w:val="000000" w:themeColor="text1"/>
          <w:sz w:val="24"/>
          <w:szCs w:val="24"/>
        </w:rPr>
        <w:t>2196.12</w:t>
      </w:r>
      <w:r w:rsidRPr="00A214B0">
        <w:rPr>
          <w:rFonts w:ascii="Times New Roman" w:hAnsi="Times New Roman" w:cs="Times New Roman"/>
          <w:bCs/>
          <w:color w:val="000000" w:themeColor="text1"/>
          <w:sz w:val="24"/>
          <w:szCs w:val="24"/>
        </w:rPr>
        <w:t>万吨，增长</w:t>
      </w:r>
      <w:r w:rsidRPr="00A214B0">
        <w:rPr>
          <w:rFonts w:ascii="Times New Roman" w:hAnsi="Times New Roman" w:cs="Times New Roman"/>
          <w:bCs/>
          <w:color w:val="000000" w:themeColor="text1"/>
          <w:sz w:val="24"/>
          <w:szCs w:val="24"/>
        </w:rPr>
        <w:t>22.7%</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地区土地状况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泰州市随着经济的不断发展，基础设施条件的不断完善和土地使用制度改革的不断深入，土地交易日益活跃、规范，近年来泰州市土地市场发展较好，此类地价增幅较好。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经济发展状况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年，泰州市地区生产总值首次突破</w:t>
      </w:r>
      <w:r w:rsidRPr="00A214B0">
        <w:rPr>
          <w:rFonts w:ascii="Times New Roman" w:hAnsi="Times New Roman" w:cs="Times New Roman"/>
          <w:bCs/>
          <w:color w:val="000000" w:themeColor="text1"/>
          <w:sz w:val="24"/>
          <w:szCs w:val="24"/>
        </w:rPr>
        <w:t>5000</w:t>
      </w:r>
      <w:r w:rsidRPr="00A214B0">
        <w:rPr>
          <w:rFonts w:ascii="Times New Roman" w:hAnsi="Times New Roman" w:cs="Times New Roman"/>
          <w:bCs/>
          <w:color w:val="000000" w:themeColor="text1"/>
          <w:sz w:val="24"/>
          <w:szCs w:val="24"/>
        </w:rPr>
        <w:t>亿大关，达到</w:t>
      </w:r>
      <w:r w:rsidRPr="00A214B0">
        <w:rPr>
          <w:rFonts w:ascii="Times New Roman" w:hAnsi="Times New Roman" w:cs="Times New Roman"/>
          <w:bCs/>
          <w:color w:val="000000" w:themeColor="text1"/>
          <w:sz w:val="24"/>
          <w:szCs w:val="24"/>
        </w:rPr>
        <w:t>5107.63</w:t>
      </w:r>
      <w:r w:rsidRPr="00A214B0">
        <w:rPr>
          <w:rFonts w:ascii="Times New Roman" w:hAnsi="Times New Roman" w:cs="Times New Roman"/>
          <w:bCs/>
          <w:color w:val="000000" w:themeColor="text1"/>
          <w:sz w:val="24"/>
          <w:szCs w:val="24"/>
        </w:rPr>
        <w:t>亿元，按可比价计算，比上年增长</w:t>
      </w:r>
      <w:r w:rsidRPr="00A214B0">
        <w:rPr>
          <w:rFonts w:ascii="Times New Roman" w:hAnsi="Times New Roman" w:cs="Times New Roman"/>
          <w:bCs/>
          <w:color w:val="000000" w:themeColor="text1"/>
          <w:sz w:val="24"/>
          <w:szCs w:val="24"/>
        </w:rPr>
        <w:t>6.7%</w:t>
      </w:r>
      <w:r w:rsidRPr="00A214B0">
        <w:rPr>
          <w:rFonts w:ascii="Times New Roman" w:hAnsi="Times New Roman" w:cs="Times New Roman"/>
          <w:bCs/>
          <w:color w:val="000000" w:themeColor="text1"/>
          <w:sz w:val="24"/>
          <w:szCs w:val="24"/>
        </w:rPr>
        <w:t>。其中第一产业增加值</w:t>
      </w:r>
      <w:r w:rsidRPr="00A214B0">
        <w:rPr>
          <w:rFonts w:ascii="Times New Roman" w:hAnsi="Times New Roman" w:cs="Times New Roman"/>
          <w:bCs/>
          <w:color w:val="000000" w:themeColor="text1"/>
          <w:sz w:val="24"/>
          <w:szCs w:val="24"/>
        </w:rPr>
        <w:t>280.05</w:t>
      </w:r>
      <w:r w:rsidRPr="00A214B0">
        <w:rPr>
          <w:rFonts w:ascii="Times New Roman" w:hAnsi="Times New Roman" w:cs="Times New Roman"/>
          <w:bCs/>
          <w:color w:val="000000" w:themeColor="text1"/>
          <w:sz w:val="24"/>
          <w:szCs w:val="24"/>
        </w:rPr>
        <w:t>亿元，增长</w:t>
      </w:r>
      <w:r w:rsidRPr="00A214B0">
        <w:rPr>
          <w:rFonts w:ascii="Times New Roman" w:hAnsi="Times New Roman" w:cs="Times New Roman"/>
          <w:bCs/>
          <w:color w:val="000000" w:themeColor="text1"/>
          <w:sz w:val="24"/>
          <w:szCs w:val="24"/>
        </w:rPr>
        <w:t>2.7%</w:t>
      </w:r>
      <w:r w:rsidRPr="00A214B0">
        <w:rPr>
          <w:rFonts w:ascii="Times New Roman" w:hAnsi="Times New Roman" w:cs="Times New Roman"/>
          <w:bCs/>
          <w:color w:val="000000" w:themeColor="text1"/>
          <w:sz w:val="24"/>
          <w:szCs w:val="24"/>
        </w:rPr>
        <w:t>；第二产业增加值</w:t>
      </w:r>
      <w:r w:rsidRPr="00A214B0">
        <w:rPr>
          <w:rFonts w:ascii="Times New Roman" w:hAnsi="Times New Roman" w:cs="Times New Roman"/>
          <w:bCs/>
          <w:color w:val="000000" w:themeColor="text1"/>
          <w:sz w:val="24"/>
          <w:szCs w:val="24"/>
        </w:rPr>
        <w:t>2434.01</w:t>
      </w:r>
      <w:r w:rsidRPr="00A214B0">
        <w:rPr>
          <w:rFonts w:ascii="Times New Roman" w:hAnsi="Times New Roman" w:cs="Times New Roman"/>
          <w:bCs/>
          <w:color w:val="000000" w:themeColor="text1"/>
          <w:sz w:val="24"/>
          <w:szCs w:val="24"/>
        </w:rPr>
        <w:t>亿元，增长</w:t>
      </w:r>
      <w:r w:rsidRPr="00A214B0">
        <w:rPr>
          <w:rFonts w:ascii="Times New Roman" w:hAnsi="Times New Roman" w:cs="Times New Roman"/>
          <w:bCs/>
          <w:color w:val="000000" w:themeColor="text1"/>
          <w:sz w:val="24"/>
          <w:szCs w:val="24"/>
        </w:rPr>
        <w:t>6.8%</w:t>
      </w:r>
      <w:r w:rsidRPr="00A214B0">
        <w:rPr>
          <w:rFonts w:ascii="Times New Roman" w:hAnsi="Times New Roman" w:cs="Times New Roman"/>
          <w:bCs/>
          <w:color w:val="000000" w:themeColor="text1"/>
          <w:sz w:val="24"/>
          <w:szCs w:val="24"/>
        </w:rPr>
        <w:t>；第三产业增加值</w:t>
      </w:r>
      <w:r w:rsidRPr="00A214B0">
        <w:rPr>
          <w:rFonts w:ascii="Times New Roman" w:hAnsi="Times New Roman" w:cs="Times New Roman"/>
          <w:bCs/>
          <w:color w:val="000000" w:themeColor="text1"/>
          <w:sz w:val="24"/>
          <w:szCs w:val="24"/>
        </w:rPr>
        <w:t>2393.57</w:t>
      </w:r>
      <w:r w:rsidRPr="00A214B0">
        <w:rPr>
          <w:rFonts w:ascii="Times New Roman" w:hAnsi="Times New Roman" w:cs="Times New Roman"/>
          <w:bCs/>
          <w:color w:val="000000" w:themeColor="text1"/>
          <w:sz w:val="24"/>
          <w:szCs w:val="24"/>
        </w:rPr>
        <w:t>亿元，增长</w:t>
      </w:r>
      <w:r w:rsidRPr="00A214B0">
        <w:rPr>
          <w:rFonts w:ascii="Times New Roman" w:hAnsi="Times New Roman" w:cs="Times New Roman"/>
          <w:bCs/>
          <w:color w:val="000000" w:themeColor="text1"/>
          <w:sz w:val="24"/>
          <w:szCs w:val="24"/>
        </w:rPr>
        <w:t>7.0%</w:t>
      </w:r>
      <w:r w:rsidRPr="00A214B0">
        <w:rPr>
          <w:rFonts w:ascii="Times New Roman" w:hAnsi="Times New Roman" w:cs="Times New Roman"/>
          <w:bCs/>
          <w:color w:val="000000" w:themeColor="text1"/>
          <w:sz w:val="24"/>
          <w:szCs w:val="24"/>
        </w:rPr>
        <w:t>。按常住人口计算，全市人均地区生产总值为</w:t>
      </w:r>
      <w:r w:rsidRPr="00A214B0">
        <w:rPr>
          <w:rFonts w:ascii="Times New Roman" w:hAnsi="Times New Roman" w:cs="Times New Roman"/>
          <w:bCs/>
          <w:color w:val="000000" w:themeColor="text1"/>
          <w:sz w:val="24"/>
          <w:szCs w:val="24"/>
        </w:rPr>
        <w:t>109988</w:t>
      </w:r>
      <w:r w:rsidRPr="00A214B0">
        <w:rPr>
          <w:rFonts w:ascii="Times New Roman" w:hAnsi="Times New Roman" w:cs="Times New Roman"/>
          <w:bCs/>
          <w:color w:val="000000" w:themeColor="text1"/>
          <w:sz w:val="24"/>
          <w:szCs w:val="24"/>
        </w:rPr>
        <w:t>元，增长</w:t>
      </w:r>
      <w:r w:rsidRPr="00A214B0">
        <w:rPr>
          <w:rFonts w:ascii="Times New Roman" w:hAnsi="Times New Roman" w:cs="Times New Roman"/>
          <w:bCs/>
          <w:color w:val="000000" w:themeColor="text1"/>
          <w:sz w:val="24"/>
          <w:szCs w:val="24"/>
        </w:rPr>
        <w:t>6.8%</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B.</w:t>
      </w:r>
      <w:r w:rsidRPr="00A214B0">
        <w:rPr>
          <w:rFonts w:ascii="Times New Roman" w:hAnsi="Times New Roman" w:cs="Times New Roman"/>
          <w:bCs/>
          <w:color w:val="000000" w:themeColor="text1"/>
          <w:sz w:val="24"/>
          <w:szCs w:val="24"/>
        </w:rPr>
        <w:t>区域因素</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影响地价的区域因素主要指影响城镇内部区域之间地价水平的区域位置、交通条件、基础设施水平、产业集聚状况、相关产业的配套、未来发展趋势等。</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）区域概况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高港区是泰州市区的南大门，是中国人民解放军海军诞生地。高港区境内有长江港口泰州港、南水北调枢纽工程引江河和泰州长江大桥。</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高港区</w:t>
      </w:r>
      <w:r w:rsidRPr="00A214B0">
        <w:rPr>
          <w:rFonts w:ascii="Times New Roman" w:hAnsi="Times New Roman" w:cs="Times New Roman"/>
          <w:bCs/>
          <w:color w:val="000000" w:themeColor="text1"/>
          <w:sz w:val="24"/>
          <w:szCs w:val="24"/>
        </w:rPr>
        <w:t>2017</w:t>
      </w:r>
      <w:r w:rsidRPr="00A214B0">
        <w:rPr>
          <w:rFonts w:ascii="Times New Roman" w:hAnsi="Times New Roman" w:cs="Times New Roman"/>
          <w:bCs/>
          <w:color w:val="000000" w:themeColor="text1"/>
          <w:sz w:val="24"/>
          <w:szCs w:val="24"/>
        </w:rPr>
        <w:t>年入选全国综合实力百强区、中国工业百强县区；</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年入选全国科技创新百强区。</w:t>
      </w:r>
      <w:r w:rsidRPr="00A214B0">
        <w:rPr>
          <w:rFonts w:ascii="Times New Roman" w:hAnsi="Times New Roman" w:cs="Times New Roman"/>
          <w:bCs/>
          <w:color w:val="000000" w:themeColor="text1"/>
          <w:sz w:val="24"/>
          <w:szCs w:val="24"/>
        </w:rPr>
        <w:t xml:space="preserve"> 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11</w:t>
      </w:r>
      <w:r w:rsidRPr="00A214B0">
        <w:rPr>
          <w:rFonts w:ascii="Times New Roman" w:hAnsi="Times New Roman" w:cs="Times New Roman"/>
          <w:bCs/>
          <w:color w:val="000000" w:themeColor="text1"/>
          <w:sz w:val="24"/>
          <w:szCs w:val="24"/>
        </w:rPr>
        <w:t>月，入选</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年工业百强区。</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2</w:t>
      </w:r>
      <w:r w:rsidRPr="00A214B0">
        <w:rPr>
          <w:rFonts w:ascii="Times New Roman" w:hAnsi="Times New Roman" w:cs="Times New Roman"/>
          <w:bCs/>
          <w:color w:val="000000" w:themeColor="text1"/>
          <w:sz w:val="24"/>
          <w:szCs w:val="24"/>
        </w:rPr>
        <w:t>）基础设施状况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a.</w:t>
      </w:r>
      <w:r w:rsidRPr="00A214B0">
        <w:rPr>
          <w:rFonts w:ascii="Times New Roman" w:hAnsi="Times New Roman" w:cs="Times New Roman"/>
          <w:bCs/>
          <w:color w:val="000000" w:themeColor="text1"/>
          <w:sz w:val="24"/>
          <w:szCs w:val="24"/>
        </w:rPr>
        <w:t>交通条件</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待估宗地所在区域有高港大道、泰州大桥等道路以及长江水道，区域内道路路网密度较好、路况较好、通达状况较好。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b. </w:t>
      </w:r>
      <w:r w:rsidRPr="00A214B0">
        <w:rPr>
          <w:rFonts w:ascii="Times New Roman" w:hAnsi="Times New Roman" w:cs="Times New Roman"/>
          <w:bCs/>
          <w:color w:val="000000" w:themeColor="text1"/>
          <w:sz w:val="24"/>
          <w:szCs w:val="24"/>
        </w:rPr>
        <w:t>能源及通讯条件</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Ⅰ</w:t>
      </w:r>
      <w:r w:rsidRPr="00A214B0">
        <w:rPr>
          <w:rFonts w:ascii="Times New Roman" w:hAnsi="Times New Roman" w:cs="Times New Roman"/>
          <w:bCs/>
          <w:color w:val="000000" w:themeColor="text1"/>
          <w:sz w:val="24"/>
          <w:szCs w:val="24"/>
        </w:rPr>
        <w:t>．供水：待估宗地所处区域由高港区自来水厂供水，供水保证率在</w:t>
      </w:r>
      <w:r w:rsidRPr="00A214B0">
        <w:rPr>
          <w:rFonts w:ascii="Times New Roman" w:hAnsi="Times New Roman" w:cs="Times New Roman"/>
          <w:bCs/>
          <w:color w:val="000000" w:themeColor="text1"/>
          <w:sz w:val="24"/>
          <w:szCs w:val="24"/>
        </w:rPr>
        <w:t>95%</w:t>
      </w:r>
      <w:r w:rsidRPr="00A214B0">
        <w:rPr>
          <w:rFonts w:ascii="Times New Roman" w:hAnsi="Times New Roman" w:cs="Times New Roman"/>
          <w:bCs/>
          <w:color w:val="000000" w:themeColor="text1"/>
          <w:sz w:val="24"/>
          <w:szCs w:val="24"/>
        </w:rPr>
        <w:t>以上，供水状况较好；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Ⅱ</w:t>
      </w:r>
      <w:r w:rsidRPr="00A214B0">
        <w:rPr>
          <w:rFonts w:ascii="Times New Roman" w:hAnsi="Times New Roman" w:cs="Times New Roman"/>
          <w:bCs/>
          <w:color w:val="000000" w:themeColor="text1"/>
          <w:sz w:val="24"/>
          <w:szCs w:val="24"/>
        </w:rPr>
        <w:t>．排水：待估宗地所处区域内由市政下水道统一排水，排水状况较好；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Ⅲ</w:t>
      </w:r>
      <w:r w:rsidRPr="00A214B0">
        <w:rPr>
          <w:rFonts w:ascii="Times New Roman" w:hAnsi="Times New Roman" w:cs="Times New Roman"/>
          <w:bCs/>
          <w:color w:val="000000" w:themeColor="text1"/>
          <w:sz w:val="24"/>
          <w:szCs w:val="24"/>
        </w:rPr>
        <w:t>．供气：待估宗地所处区域无统一供气设施；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Ⅳ</w:t>
      </w:r>
      <w:r w:rsidRPr="00A214B0">
        <w:rPr>
          <w:rFonts w:ascii="Times New Roman" w:hAnsi="Times New Roman" w:cs="Times New Roman"/>
          <w:bCs/>
          <w:color w:val="000000" w:themeColor="text1"/>
          <w:sz w:val="24"/>
          <w:szCs w:val="24"/>
        </w:rPr>
        <w:t>．供电：待估宗地所处区域由高港区供电局供电，供电保证率在</w:t>
      </w:r>
      <w:r w:rsidRPr="00A214B0">
        <w:rPr>
          <w:rFonts w:ascii="Times New Roman" w:hAnsi="Times New Roman" w:cs="Times New Roman"/>
          <w:bCs/>
          <w:color w:val="000000" w:themeColor="text1"/>
          <w:sz w:val="24"/>
          <w:szCs w:val="24"/>
        </w:rPr>
        <w:t>95%</w:t>
      </w:r>
      <w:r w:rsidRPr="00A214B0">
        <w:rPr>
          <w:rFonts w:ascii="Times New Roman" w:hAnsi="Times New Roman" w:cs="Times New Roman"/>
          <w:bCs/>
          <w:color w:val="000000" w:themeColor="text1"/>
          <w:sz w:val="24"/>
          <w:szCs w:val="24"/>
        </w:rPr>
        <w:t>以上，供电状况较好；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Ⅴ</w:t>
      </w:r>
      <w:r w:rsidRPr="00A214B0">
        <w:rPr>
          <w:rFonts w:ascii="Times New Roman" w:hAnsi="Times New Roman" w:cs="Times New Roman"/>
          <w:bCs/>
          <w:color w:val="000000" w:themeColor="text1"/>
          <w:sz w:val="24"/>
          <w:szCs w:val="24"/>
        </w:rPr>
        <w:t>．电讯：待估宗地所处区域属高港区电信局服务范围，电话交换方式为数字程控交换，区域内目前装机容量完全可满足正常生产、生活需要，电讯状况较好。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环境条件</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待估宗地所在区域周边主要为工业用地，区域内环境一般。</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产业聚集状况</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地块所在范围内企业一般，相关配套企业一般，工业聚集程度一般。</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规划条件</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目前规划为工业用地。</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C.</w:t>
      </w:r>
      <w:r w:rsidRPr="00A214B0">
        <w:rPr>
          <w:rFonts w:ascii="Times New Roman" w:hAnsi="Times New Roman" w:cs="Times New Roman"/>
          <w:bCs/>
          <w:color w:val="000000" w:themeColor="text1"/>
          <w:sz w:val="24"/>
          <w:szCs w:val="24"/>
        </w:rPr>
        <w:t>个别因素</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个别因素包括评估对象的面积、宗地地形地基条件、宗地形状、宗地内外开发程度、宗地容积率等影响地价水平的因素。</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）宗地位置</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待估宗地位于江苏省泰州市高港区永安洲镇疏港一路</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号。</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2</w:t>
      </w:r>
      <w:r w:rsidRPr="00A214B0">
        <w:rPr>
          <w:rFonts w:ascii="Times New Roman" w:hAnsi="Times New Roman" w:cs="Times New Roman"/>
          <w:bCs/>
          <w:color w:val="000000" w:themeColor="text1"/>
          <w:sz w:val="24"/>
          <w:szCs w:val="24"/>
        </w:rPr>
        <w:t>）宗地用途</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宗地用途为工业用地。</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3</w:t>
      </w:r>
      <w:r w:rsidRPr="00A214B0">
        <w:rPr>
          <w:rFonts w:ascii="Times New Roman" w:hAnsi="Times New Roman" w:cs="Times New Roman"/>
          <w:bCs/>
          <w:color w:val="000000" w:themeColor="text1"/>
          <w:sz w:val="24"/>
          <w:szCs w:val="24"/>
        </w:rPr>
        <w:t>）宗地面积</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本次设定评估土地面积为</w:t>
      </w:r>
      <w:r w:rsidRPr="00A214B0">
        <w:rPr>
          <w:rFonts w:ascii="Times New Roman" w:hAnsi="Times New Roman" w:cs="Times New Roman"/>
          <w:bCs/>
          <w:color w:val="000000" w:themeColor="text1"/>
          <w:sz w:val="24"/>
          <w:szCs w:val="24"/>
        </w:rPr>
        <w:t>175,591.00</w:t>
      </w:r>
      <w:r w:rsidRPr="00A214B0">
        <w:rPr>
          <w:rFonts w:ascii="Times New Roman" w:hAnsi="Times New Roman" w:cs="Times New Roman"/>
          <w:bCs/>
          <w:color w:val="000000" w:themeColor="text1"/>
          <w:sz w:val="24"/>
          <w:szCs w:val="24"/>
        </w:rPr>
        <w:t>平方米。</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4</w:t>
      </w:r>
      <w:r w:rsidRPr="00A214B0">
        <w:rPr>
          <w:rFonts w:ascii="Times New Roman" w:hAnsi="Times New Roman" w:cs="Times New Roman"/>
          <w:bCs/>
          <w:color w:val="000000" w:themeColor="text1"/>
          <w:sz w:val="24"/>
          <w:szCs w:val="24"/>
        </w:rPr>
        <w:t>）地质地貌条件</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待估宗地地处低缓平原地带，地基条件一般，地表表层为粘土，地表以下为岩石。</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5</w:t>
      </w:r>
      <w:r w:rsidRPr="00A214B0">
        <w:rPr>
          <w:rFonts w:ascii="Times New Roman" w:hAnsi="Times New Roman" w:cs="Times New Roman"/>
          <w:bCs/>
          <w:color w:val="000000" w:themeColor="text1"/>
          <w:sz w:val="24"/>
          <w:szCs w:val="24"/>
        </w:rPr>
        <w:t>）容积率</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设定容积率为小于等于</w:t>
      </w:r>
      <w:r w:rsidRPr="00A214B0">
        <w:rPr>
          <w:rFonts w:ascii="Times New Roman" w:hAnsi="Times New Roman" w:cs="Times New Roman"/>
          <w:bCs/>
          <w:color w:val="000000" w:themeColor="text1"/>
          <w:sz w:val="24"/>
          <w:szCs w:val="24"/>
        </w:rPr>
        <w:t>1.0</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6</w:t>
      </w:r>
      <w:r w:rsidRPr="00A214B0">
        <w:rPr>
          <w:rFonts w:ascii="Times New Roman" w:hAnsi="Times New Roman" w:cs="Times New Roman"/>
          <w:bCs/>
          <w:color w:val="000000" w:themeColor="text1"/>
          <w:sz w:val="24"/>
          <w:szCs w:val="24"/>
        </w:rPr>
        <w:t>）土地开发程度</w:t>
      </w:r>
    </w:p>
    <w:p w:rsidR="00D56508" w:rsidRPr="00A214B0" w:rsidRDefault="00F1265B">
      <w:pPr>
        <w:autoSpaceDE w:val="0"/>
        <w:autoSpaceDN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土地开发程度为五通一平。</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7</w:t>
      </w:r>
      <w:r w:rsidRPr="00A214B0">
        <w:rPr>
          <w:rFonts w:ascii="Times New Roman" w:hAnsi="Times New Roman" w:cs="Times New Roman"/>
          <w:bCs/>
          <w:color w:val="000000" w:themeColor="text1"/>
          <w:sz w:val="24"/>
          <w:szCs w:val="24"/>
        </w:rPr>
        <w:t>）场内基础设施</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评估基准日，场内已平整。</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②</w:t>
      </w:r>
      <w:r w:rsidRPr="00A214B0">
        <w:rPr>
          <w:rFonts w:ascii="Times New Roman" w:hAnsi="Times New Roman" w:cs="Times New Roman"/>
          <w:bCs/>
          <w:color w:val="000000" w:themeColor="text1"/>
          <w:sz w:val="24"/>
          <w:szCs w:val="24"/>
        </w:rPr>
        <w:t>地价定义</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待估宗地实际开发程度为宗地外</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五通</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（道路、供电、供水、通讯、排水）、宗地内已平整。根据地价评估技术规程和待估宗地实际状况，本次评估地价定义为：在评估基准日，待估宗地开发程度设定为宗地外</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五通</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（道路、供电、供水、通讯、排水）、宗地内净地条件，作为工业用地、土地使用年期为剩余年期、无他项权利限制条件下的国有出让土地使用权价格。</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③</w:t>
      </w:r>
      <w:r w:rsidRPr="00A214B0">
        <w:rPr>
          <w:rFonts w:ascii="Times New Roman" w:hAnsi="Times New Roman" w:cs="Times New Roman"/>
          <w:bCs/>
          <w:color w:val="000000" w:themeColor="text1"/>
          <w:sz w:val="24"/>
          <w:szCs w:val="24"/>
        </w:rPr>
        <w:t>土地估价原则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A.</w:t>
      </w:r>
      <w:r w:rsidRPr="00A214B0">
        <w:rPr>
          <w:rFonts w:ascii="Times New Roman" w:hAnsi="Times New Roman" w:cs="Times New Roman"/>
          <w:bCs/>
          <w:color w:val="000000" w:themeColor="text1"/>
          <w:sz w:val="24"/>
          <w:szCs w:val="24"/>
        </w:rPr>
        <w:t>替代原则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根据市场运行规律，在同一商品市场中，商品或提供服务的效用相同或大致相似时，价格低者吸引需求，即有两个以上互有替代性的商品或服务同时存在时，商品或服务的价格是经过相互影响与比较之后来决定的。土地价格也同样遵循替代规律，某块土地的价格，受其它具有相同使用价值的地块，即同类型具有替代可能的地块价格所牵制。换言之，具有相同使用价值、替代可能的地块之间，会相互影响和竞争，使价格相互牵制而趋于一致。</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B.</w:t>
      </w:r>
      <w:r w:rsidRPr="00A214B0">
        <w:rPr>
          <w:rFonts w:ascii="Times New Roman" w:hAnsi="Times New Roman" w:cs="Times New Roman"/>
          <w:bCs/>
          <w:color w:val="000000" w:themeColor="text1"/>
          <w:sz w:val="24"/>
          <w:szCs w:val="24"/>
        </w:rPr>
        <w:t>供需原则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在完全的市场竞争中，一般商品的价格都取决于供求的均衡点。供小于求，价格就会提高，否则，价格就会降低。由于土地与一般商品相比，具有独特的人文和自然特性，因此在进行土地估价时既要考虑到所假设的公平市场，又要考虑土地供应的垄断性特征。</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C.</w:t>
      </w:r>
      <w:r w:rsidRPr="00A214B0">
        <w:rPr>
          <w:rFonts w:ascii="Times New Roman" w:hAnsi="Times New Roman" w:cs="Times New Roman"/>
          <w:bCs/>
          <w:color w:val="000000" w:themeColor="text1"/>
          <w:sz w:val="24"/>
          <w:szCs w:val="24"/>
        </w:rPr>
        <w:t>贡献原则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是指土地总收益是由土地及其他生产要素共同作用的结果，土地的价格可以土地对土地收益的贡献大小来决定。</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D.</w:t>
      </w:r>
      <w:r w:rsidRPr="00A214B0">
        <w:rPr>
          <w:rFonts w:ascii="Times New Roman" w:hAnsi="Times New Roman" w:cs="Times New Roman"/>
          <w:bCs/>
          <w:color w:val="000000" w:themeColor="text1"/>
          <w:sz w:val="24"/>
          <w:szCs w:val="24"/>
        </w:rPr>
        <w:t>变动原则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一般商品的价格，是伴随着构成价格的因素的变化而发生变动的。土地价格也有同样情形，它是各种地价形成因素相互作用的结果，而这些价格形成因素经常处于变动之中，所以土地价格是在这些因素相互作用及其组合的变动过程中形成的。因此，在土地估价时，必须分析该土地的效用、稀缺性、个别性及有效需求以及使这些因素发生变动的一般因素、区域因素及个别因素。由于这些因素都在变动之中，因此应把握各因素之间的因果关系及其变动规律，以便根据目前的地价水平预测未来的土地价格。</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E.</w:t>
      </w:r>
      <w:r w:rsidRPr="00A214B0">
        <w:rPr>
          <w:rFonts w:ascii="Times New Roman" w:hAnsi="Times New Roman" w:cs="Times New Roman"/>
          <w:bCs/>
          <w:color w:val="000000" w:themeColor="text1"/>
          <w:sz w:val="24"/>
          <w:szCs w:val="24"/>
        </w:rPr>
        <w:t>协调原则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土地总是处于一定的自然与社会环境之中，必须与周围环境相协调。因为土地能适应周围环境，则该土地的收益或效用能最大限度地发挥，所以要分析土地是否与所处环境协调。因此，在土地估价时，一定要认真分析土地与周围环境的关系，判断其是否协调，这直接关系到该地块的收益量和价格。</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F.</w:t>
      </w:r>
      <w:r w:rsidRPr="00A214B0">
        <w:rPr>
          <w:rFonts w:ascii="Times New Roman" w:hAnsi="Times New Roman" w:cs="Times New Roman"/>
          <w:bCs/>
          <w:color w:val="000000" w:themeColor="text1"/>
          <w:sz w:val="24"/>
          <w:szCs w:val="24"/>
        </w:rPr>
        <w:t>最有效利用原则</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是指土地估价应以估价对象的最有效利用为前提估价。判断土地的最有效利用以土地利用符合其自身利用条件、法律法规政策及规划限制、市场要求和最佳利用程度等。</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④</w:t>
      </w:r>
      <w:r w:rsidRPr="00A214B0">
        <w:rPr>
          <w:rFonts w:ascii="Times New Roman" w:hAnsi="Times New Roman" w:cs="Times New Roman"/>
          <w:bCs/>
          <w:color w:val="000000" w:themeColor="text1"/>
          <w:sz w:val="24"/>
          <w:szCs w:val="24"/>
        </w:rPr>
        <w:t>评估方法</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根据一般土地使用权常用的评估方法有市场比较法、收益还原法、假设开发法、成本逼近法、基准地价系数修正法等。评估人员在实地勘察和有关市场调查的基础上，结合待估宗地的实际情况及有关评估方法的适用条件等，本次对土地价值选择市场比较法进行评估。具体选择理由如下：</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评估基准日，泰州市高港区内工业用地交易较为活跃，与委估宗地相邻或相近地区，在评估基准日附近有较为活跃的土地交易活动，因此，具备采用市场比较法评估的条件。</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⑤</w:t>
      </w:r>
      <w:r w:rsidRPr="00A214B0">
        <w:rPr>
          <w:rFonts w:ascii="Times New Roman" w:hAnsi="Times New Roman" w:cs="Times New Roman"/>
          <w:bCs/>
          <w:color w:val="000000" w:themeColor="text1"/>
          <w:sz w:val="24"/>
          <w:szCs w:val="24"/>
        </w:rPr>
        <w:t>评估过程</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本次评估以江苏海企化工仓储股份有限公司所持有位于江苏省泰州市高港区永安洲镇疏港一路</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号的土地使用权（面积</w:t>
      </w:r>
      <w:r w:rsidRPr="00A214B0">
        <w:rPr>
          <w:rFonts w:ascii="Times New Roman" w:hAnsi="Times New Roman" w:cs="Times New Roman"/>
          <w:bCs/>
          <w:color w:val="000000" w:themeColor="text1"/>
          <w:sz w:val="24"/>
          <w:szCs w:val="24"/>
        </w:rPr>
        <w:t>96,759.00</w:t>
      </w:r>
      <w:r w:rsidRPr="00A214B0">
        <w:rPr>
          <w:rFonts w:ascii="Times New Roman" w:hAnsi="Times New Roman" w:cs="Times New Roman"/>
          <w:bCs/>
          <w:color w:val="000000" w:themeColor="text1"/>
          <w:sz w:val="24"/>
          <w:szCs w:val="24"/>
        </w:rPr>
        <w:t>平方米）为例进行说明。</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1</w:t>
      </w:r>
      <w:r w:rsidRPr="00A214B0">
        <w:rPr>
          <w:rFonts w:ascii="Times New Roman" w:hAnsi="Times New Roman" w:cs="Times New Roman"/>
          <w:bCs/>
          <w:color w:val="000000" w:themeColor="text1"/>
          <w:sz w:val="24"/>
          <w:szCs w:val="24"/>
        </w:rPr>
        <w:t>）基本原理及公式</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市场法是指在求取待估宗地价格时，将待估宗地与在接近评估基准日时期内已经成交的类似土地交易实例进行对照比较，参照该土地的交易情况、期日、区域、个别因素、使用年限等差别，修正得出待估土地评估值的方法，其基本公式为：</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委估宗地评估值</w:t>
      </w:r>
      <w:r w:rsidRPr="00A214B0">
        <w:rPr>
          <w:rFonts w:ascii="Times New Roman" w:hAnsi="Times New Roman" w:cs="Times New Roman"/>
          <w:bCs/>
          <w:color w:val="000000" w:themeColor="text1"/>
          <w:sz w:val="24"/>
          <w:szCs w:val="24"/>
        </w:rPr>
        <w:t>=P×A×B×C×D×E</w:t>
      </w:r>
    </w:p>
    <w:p w:rsidR="00D56508" w:rsidRPr="00A214B0" w:rsidRDefault="00F1265B">
      <w:pPr>
        <w:autoSpaceDE w:val="0"/>
        <w:autoSpaceDN w:val="0"/>
        <w:adjustRightInd w:val="0"/>
        <w:snapToGrid w:val="0"/>
        <w:spacing w:line="360" w:lineRule="auto"/>
        <w:ind w:firstLineChars="100" w:firstLine="24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式中：</w:t>
      </w:r>
      <w:r w:rsidRPr="00A214B0">
        <w:rPr>
          <w:rFonts w:ascii="Times New Roman" w:hAnsi="Times New Roman" w:cs="Times New Roman"/>
          <w:bCs/>
          <w:color w:val="000000" w:themeColor="text1"/>
          <w:sz w:val="24"/>
          <w:szCs w:val="24"/>
        </w:rPr>
        <w:t>P—</w:t>
      </w:r>
      <w:r w:rsidRPr="00A214B0">
        <w:rPr>
          <w:rFonts w:ascii="Times New Roman" w:hAnsi="Times New Roman" w:cs="Times New Roman"/>
          <w:bCs/>
          <w:color w:val="000000" w:themeColor="text1"/>
          <w:sz w:val="24"/>
          <w:szCs w:val="24"/>
        </w:rPr>
        <w:t>可比交易实例价格</w:t>
      </w:r>
    </w:p>
    <w:p w:rsidR="00D56508" w:rsidRPr="00A214B0" w:rsidRDefault="00F1265B">
      <w:pPr>
        <w:autoSpaceDE w:val="0"/>
        <w:autoSpaceDN w:val="0"/>
        <w:adjustRightInd w:val="0"/>
        <w:snapToGrid w:val="0"/>
        <w:spacing w:line="360" w:lineRule="auto"/>
        <w:ind w:firstLineChars="100" w:firstLine="24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A—</w:t>
      </w:r>
      <w:r w:rsidRPr="00A214B0">
        <w:rPr>
          <w:rFonts w:ascii="Times New Roman" w:hAnsi="Times New Roman" w:cs="Times New Roman"/>
          <w:bCs/>
          <w:color w:val="000000" w:themeColor="text1"/>
          <w:sz w:val="24"/>
          <w:szCs w:val="24"/>
        </w:rPr>
        <w:t>交易情况修正系数</w:t>
      </w:r>
    </w:p>
    <w:p w:rsidR="00D56508" w:rsidRPr="00A214B0" w:rsidRDefault="00F1265B">
      <w:pPr>
        <w:autoSpaceDE w:val="0"/>
        <w:autoSpaceDN w:val="0"/>
        <w:adjustRightInd w:val="0"/>
        <w:snapToGrid w:val="0"/>
        <w:spacing w:line="360" w:lineRule="auto"/>
        <w:ind w:firstLineChars="100" w:firstLine="24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B—</w:t>
      </w:r>
      <w:r w:rsidRPr="00A214B0">
        <w:rPr>
          <w:rFonts w:ascii="Times New Roman" w:hAnsi="Times New Roman" w:cs="Times New Roman"/>
          <w:bCs/>
          <w:color w:val="000000" w:themeColor="text1"/>
          <w:sz w:val="24"/>
          <w:szCs w:val="24"/>
        </w:rPr>
        <w:t>交易日期修正系数</w:t>
      </w:r>
    </w:p>
    <w:p w:rsidR="00D56508" w:rsidRPr="00A214B0" w:rsidRDefault="00F1265B">
      <w:pPr>
        <w:autoSpaceDE w:val="0"/>
        <w:autoSpaceDN w:val="0"/>
        <w:adjustRightInd w:val="0"/>
        <w:snapToGrid w:val="0"/>
        <w:spacing w:line="360" w:lineRule="auto"/>
        <w:ind w:firstLineChars="100" w:firstLine="24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C—</w:t>
      </w:r>
      <w:r w:rsidRPr="00A214B0">
        <w:rPr>
          <w:rFonts w:ascii="Times New Roman" w:hAnsi="Times New Roman" w:cs="Times New Roman"/>
          <w:bCs/>
          <w:color w:val="000000" w:themeColor="text1"/>
          <w:sz w:val="24"/>
          <w:szCs w:val="24"/>
        </w:rPr>
        <w:t>区域因素修正系数</w:t>
      </w:r>
    </w:p>
    <w:p w:rsidR="00D56508" w:rsidRPr="00A214B0" w:rsidRDefault="00F1265B">
      <w:pPr>
        <w:autoSpaceDE w:val="0"/>
        <w:autoSpaceDN w:val="0"/>
        <w:adjustRightInd w:val="0"/>
        <w:snapToGrid w:val="0"/>
        <w:spacing w:line="360" w:lineRule="auto"/>
        <w:ind w:firstLineChars="100" w:firstLine="24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D—</w:t>
      </w:r>
      <w:r w:rsidRPr="00A214B0">
        <w:rPr>
          <w:rFonts w:ascii="Times New Roman" w:hAnsi="Times New Roman" w:cs="Times New Roman"/>
          <w:bCs/>
          <w:color w:val="000000" w:themeColor="text1"/>
          <w:sz w:val="24"/>
          <w:szCs w:val="24"/>
        </w:rPr>
        <w:t>个别因素修正系数</w:t>
      </w:r>
    </w:p>
    <w:p w:rsidR="00D56508" w:rsidRPr="00A214B0" w:rsidRDefault="00F1265B">
      <w:pPr>
        <w:autoSpaceDE w:val="0"/>
        <w:autoSpaceDN w:val="0"/>
        <w:adjustRightInd w:val="0"/>
        <w:snapToGrid w:val="0"/>
        <w:spacing w:line="360" w:lineRule="auto"/>
        <w:ind w:firstLineChars="100" w:firstLine="24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E—</w:t>
      </w:r>
      <w:r w:rsidRPr="00A214B0">
        <w:rPr>
          <w:rFonts w:ascii="Times New Roman" w:hAnsi="Times New Roman" w:cs="Times New Roman"/>
          <w:bCs/>
          <w:color w:val="000000" w:themeColor="text1"/>
          <w:sz w:val="24"/>
          <w:szCs w:val="24"/>
        </w:rPr>
        <w:t>使用年限修正系数</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2</w:t>
      </w:r>
      <w:r w:rsidRPr="00A214B0">
        <w:rPr>
          <w:rFonts w:ascii="Times New Roman" w:hAnsi="Times New Roman" w:cs="Times New Roman"/>
          <w:bCs/>
          <w:color w:val="000000" w:themeColor="text1"/>
          <w:sz w:val="24"/>
          <w:szCs w:val="24"/>
        </w:rPr>
        <w:t>）主要参数的确定</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①</w:t>
      </w:r>
      <w:r w:rsidRPr="00A214B0">
        <w:rPr>
          <w:rFonts w:ascii="Times New Roman" w:hAnsi="Times New Roman" w:cs="Times New Roman"/>
          <w:bCs/>
          <w:color w:val="000000" w:themeColor="text1"/>
          <w:sz w:val="24"/>
          <w:szCs w:val="24"/>
        </w:rPr>
        <w:t>选取比较实例</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根据待估宗地所处位置，通过市场调查和比较分析，选取同区域近期成交的可比实例如下：</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实例一：泰高工挂</w:t>
      </w:r>
      <w:r w:rsidRPr="00A214B0">
        <w:rPr>
          <w:rFonts w:ascii="Times New Roman" w:hAnsi="Times New Roman" w:cs="Times New Roman"/>
          <w:bCs/>
          <w:color w:val="000000" w:themeColor="text1"/>
          <w:sz w:val="24"/>
          <w:szCs w:val="24"/>
        </w:rPr>
        <w:t>[2018]4-1</w:t>
      </w:r>
      <w:r w:rsidRPr="00A214B0">
        <w:rPr>
          <w:rFonts w:ascii="Times New Roman" w:hAnsi="Times New Roman" w:cs="Times New Roman"/>
          <w:bCs/>
          <w:color w:val="000000" w:themeColor="text1"/>
          <w:sz w:val="24"/>
          <w:szCs w:val="24"/>
        </w:rPr>
        <w:t>号，位于高港区永安洲镇化工园区盛园路西侧、裕兴路南侧地块；取得方式：挂牌出让；土地用途：工业用地；最高出让年期：</w:t>
      </w:r>
      <w:r w:rsidRPr="00A214B0">
        <w:rPr>
          <w:rFonts w:ascii="Times New Roman" w:hAnsi="Times New Roman" w:cs="Times New Roman"/>
          <w:bCs/>
          <w:color w:val="000000" w:themeColor="text1"/>
          <w:sz w:val="24"/>
          <w:szCs w:val="24"/>
        </w:rPr>
        <w:t>50</w:t>
      </w:r>
      <w:r w:rsidRPr="00A214B0">
        <w:rPr>
          <w:rFonts w:ascii="Times New Roman" w:hAnsi="Times New Roman" w:cs="Times New Roman"/>
          <w:bCs/>
          <w:color w:val="000000" w:themeColor="text1"/>
          <w:sz w:val="24"/>
          <w:szCs w:val="24"/>
        </w:rPr>
        <w:t>年；土地面积：</w:t>
      </w:r>
      <w:r w:rsidRPr="00A214B0">
        <w:rPr>
          <w:rFonts w:ascii="Times New Roman" w:hAnsi="Times New Roman" w:cs="Times New Roman"/>
          <w:bCs/>
          <w:color w:val="000000" w:themeColor="text1"/>
          <w:sz w:val="24"/>
          <w:szCs w:val="24"/>
        </w:rPr>
        <w:t>23114.00</w:t>
      </w:r>
      <w:r w:rsidRPr="00A214B0">
        <w:rPr>
          <w:rFonts w:ascii="Times New Roman" w:hAnsi="Times New Roman" w:cs="Times New Roman"/>
          <w:bCs/>
          <w:color w:val="000000" w:themeColor="text1"/>
          <w:sz w:val="24"/>
          <w:szCs w:val="24"/>
        </w:rPr>
        <w:t>平方米，成交价格：</w:t>
      </w:r>
      <w:r w:rsidRPr="00A214B0">
        <w:rPr>
          <w:rFonts w:ascii="Times New Roman" w:hAnsi="Times New Roman" w:cs="Times New Roman"/>
          <w:bCs/>
          <w:color w:val="000000" w:themeColor="text1"/>
          <w:sz w:val="24"/>
          <w:szCs w:val="24"/>
        </w:rPr>
        <w:t>439.13</w:t>
      </w:r>
      <w:r w:rsidRPr="00A214B0">
        <w:rPr>
          <w:rFonts w:ascii="Times New Roman" w:hAnsi="Times New Roman" w:cs="Times New Roman"/>
          <w:bCs/>
          <w:color w:val="000000" w:themeColor="text1"/>
          <w:sz w:val="24"/>
          <w:szCs w:val="24"/>
        </w:rPr>
        <w:t>元</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平方米；成交日期：</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10</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12</w:t>
      </w:r>
      <w:r w:rsidRPr="00A214B0">
        <w:rPr>
          <w:rFonts w:ascii="Times New Roman" w:hAnsi="Times New Roman" w:cs="Times New Roman"/>
          <w:bCs/>
          <w:color w:val="000000" w:themeColor="text1"/>
          <w:sz w:val="24"/>
          <w:szCs w:val="24"/>
        </w:rPr>
        <w:t>日。</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实例二：泰高工挂</w:t>
      </w:r>
      <w:r w:rsidRPr="00A214B0">
        <w:rPr>
          <w:rFonts w:ascii="Times New Roman" w:hAnsi="Times New Roman" w:cs="Times New Roman"/>
          <w:bCs/>
          <w:color w:val="000000" w:themeColor="text1"/>
          <w:sz w:val="24"/>
          <w:szCs w:val="24"/>
        </w:rPr>
        <w:t>[2018]3-3</w:t>
      </w:r>
      <w:r w:rsidRPr="00A214B0">
        <w:rPr>
          <w:rFonts w:ascii="Times New Roman" w:hAnsi="Times New Roman" w:cs="Times New Roman"/>
          <w:bCs/>
          <w:color w:val="000000" w:themeColor="text1"/>
          <w:sz w:val="24"/>
          <w:szCs w:val="24"/>
        </w:rPr>
        <w:t>号，位于高港区永安洲镇疏港北路西侧、益海粮油</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泰州</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工业有限公司北侧地块；取得方式：挂牌出让；土地用途：工业用地；最高出让年期：</w:t>
      </w:r>
      <w:r w:rsidRPr="00A214B0">
        <w:rPr>
          <w:rFonts w:ascii="Times New Roman" w:hAnsi="Times New Roman" w:cs="Times New Roman"/>
          <w:bCs/>
          <w:color w:val="000000" w:themeColor="text1"/>
          <w:sz w:val="24"/>
          <w:szCs w:val="24"/>
        </w:rPr>
        <w:t>50</w:t>
      </w:r>
      <w:r w:rsidRPr="00A214B0">
        <w:rPr>
          <w:rFonts w:ascii="Times New Roman" w:hAnsi="Times New Roman" w:cs="Times New Roman"/>
          <w:bCs/>
          <w:color w:val="000000" w:themeColor="text1"/>
          <w:sz w:val="24"/>
          <w:szCs w:val="24"/>
        </w:rPr>
        <w:t>年；土地面积：</w:t>
      </w:r>
      <w:r w:rsidRPr="00A214B0">
        <w:rPr>
          <w:rFonts w:ascii="Times New Roman" w:hAnsi="Times New Roman" w:cs="Times New Roman"/>
          <w:bCs/>
          <w:color w:val="000000" w:themeColor="text1"/>
          <w:sz w:val="24"/>
          <w:szCs w:val="24"/>
        </w:rPr>
        <w:t>10923.00</w:t>
      </w:r>
      <w:r w:rsidRPr="00A214B0">
        <w:rPr>
          <w:rFonts w:ascii="Times New Roman" w:hAnsi="Times New Roman" w:cs="Times New Roman"/>
          <w:bCs/>
          <w:color w:val="000000" w:themeColor="text1"/>
          <w:sz w:val="24"/>
          <w:szCs w:val="24"/>
        </w:rPr>
        <w:t>平方米，成交价格：</w:t>
      </w:r>
      <w:r w:rsidRPr="00A214B0">
        <w:rPr>
          <w:rFonts w:ascii="Times New Roman" w:hAnsi="Times New Roman" w:cs="Times New Roman"/>
          <w:bCs/>
          <w:color w:val="000000" w:themeColor="text1"/>
          <w:sz w:val="24"/>
          <w:szCs w:val="24"/>
        </w:rPr>
        <w:t>434.86</w:t>
      </w:r>
      <w:r w:rsidRPr="00A214B0">
        <w:rPr>
          <w:rFonts w:ascii="Times New Roman" w:hAnsi="Times New Roman" w:cs="Times New Roman"/>
          <w:bCs/>
          <w:color w:val="000000" w:themeColor="text1"/>
          <w:sz w:val="24"/>
          <w:szCs w:val="24"/>
        </w:rPr>
        <w:t>元</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平方米；成交日期：</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7</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13</w:t>
      </w:r>
      <w:r w:rsidRPr="00A214B0">
        <w:rPr>
          <w:rFonts w:ascii="Times New Roman" w:hAnsi="Times New Roman" w:cs="Times New Roman"/>
          <w:bCs/>
          <w:color w:val="000000" w:themeColor="text1"/>
          <w:sz w:val="24"/>
          <w:szCs w:val="24"/>
        </w:rPr>
        <w:t>日。</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实例二：泰高工挂</w:t>
      </w:r>
      <w:r w:rsidRPr="00A214B0">
        <w:rPr>
          <w:rFonts w:ascii="Times New Roman" w:hAnsi="Times New Roman" w:cs="Times New Roman"/>
          <w:bCs/>
          <w:color w:val="000000" w:themeColor="text1"/>
          <w:sz w:val="24"/>
          <w:szCs w:val="24"/>
        </w:rPr>
        <w:t>[2018]2-1</w:t>
      </w:r>
      <w:r w:rsidRPr="00A214B0">
        <w:rPr>
          <w:rFonts w:ascii="Times New Roman" w:hAnsi="Times New Roman" w:cs="Times New Roman"/>
          <w:bCs/>
          <w:color w:val="000000" w:themeColor="text1"/>
          <w:sz w:val="24"/>
          <w:szCs w:val="24"/>
        </w:rPr>
        <w:t>号，位于高港区永安洲镇创业路西侧、中心河南侧地块；取得方式：挂牌出让；土地用途：工业用地；最高出让年期：</w:t>
      </w:r>
      <w:r w:rsidRPr="00A214B0">
        <w:rPr>
          <w:rFonts w:ascii="Times New Roman" w:hAnsi="Times New Roman" w:cs="Times New Roman"/>
          <w:bCs/>
          <w:color w:val="000000" w:themeColor="text1"/>
          <w:sz w:val="24"/>
          <w:szCs w:val="24"/>
        </w:rPr>
        <w:t>50</w:t>
      </w:r>
      <w:r w:rsidRPr="00A214B0">
        <w:rPr>
          <w:rFonts w:ascii="Times New Roman" w:hAnsi="Times New Roman" w:cs="Times New Roman"/>
          <w:bCs/>
          <w:color w:val="000000" w:themeColor="text1"/>
          <w:sz w:val="24"/>
          <w:szCs w:val="24"/>
        </w:rPr>
        <w:t>年；土地面积：</w:t>
      </w:r>
      <w:r w:rsidRPr="00A214B0">
        <w:rPr>
          <w:rFonts w:ascii="Times New Roman" w:hAnsi="Times New Roman" w:cs="Times New Roman"/>
          <w:bCs/>
          <w:color w:val="000000" w:themeColor="text1"/>
          <w:sz w:val="24"/>
          <w:szCs w:val="24"/>
        </w:rPr>
        <w:t>53649.00</w:t>
      </w:r>
      <w:r w:rsidRPr="00A214B0">
        <w:rPr>
          <w:rFonts w:ascii="Times New Roman" w:hAnsi="Times New Roman" w:cs="Times New Roman"/>
          <w:bCs/>
          <w:color w:val="000000" w:themeColor="text1"/>
          <w:sz w:val="24"/>
          <w:szCs w:val="24"/>
        </w:rPr>
        <w:t>平方米，成交价格：</w:t>
      </w:r>
      <w:r w:rsidRPr="00A214B0">
        <w:rPr>
          <w:rFonts w:ascii="Times New Roman" w:hAnsi="Times New Roman" w:cs="Times New Roman"/>
          <w:bCs/>
          <w:color w:val="000000" w:themeColor="text1"/>
          <w:sz w:val="24"/>
          <w:szCs w:val="24"/>
        </w:rPr>
        <w:t>430.58</w:t>
      </w:r>
      <w:r w:rsidRPr="00A214B0">
        <w:rPr>
          <w:rFonts w:ascii="Times New Roman" w:hAnsi="Times New Roman" w:cs="Times New Roman"/>
          <w:bCs/>
          <w:color w:val="000000" w:themeColor="text1"/>
          <w:sz w:val="24"/>
          <w:szCs w:val="24"/>
        </w:rPr>
        <w:t>元</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平方米；成交日期：</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5</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25</w:t>
      </w:r>
      <w:r w:rsidRPr="00A214B0">
        <w:rPr>
          <w:rFonts w:ascii="Times New Roman" w:hAnsi="Times New Roman" w:cs="Times New Roman"/>
          <w:bCs/>
          <w:color w:val="000000" w:themeColor="text1"/>
          <w:sz w:val="24"/>
          <w:szCs w:val="24"/>
        </w:rPr>
        <w:t>日。</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②</w:t>
      </w:r>
      <w:r w:rsidRPr="00A214B0">
        <w:rPr>
          <w:rFonts w:ascii="Times New Roman" w:hAnsi="Times New Roman" w:cs="Times New Roman"/>
          <w:bCs/>
          <w:color w:val="000000" w:themeColor="text1"/>
          <w:sz w:val="24"/>
          <w:szCs w:val="24"/>
        </w:rPr>
        <w:t>具体测算过程</w:t>
      </w:r>
    </w:p>
    <w:p w:rsidR="00D56508" w:rsidRPr="00A214B0" w:rsidRDefault="00F1265B">
      <w:pPr>
        <w:numPr>
          <w:ilvl w:val="0"/>
          <w:numId w:val="13"/>
        </w:numPr>
        <w:autoSpaceDE w:val="0"/>
        <w:autoSpaceDN w:val="0"/>
        <w:adjustRightInd w:val="0"/>
        <w:snapToGrid w:val="0"/>
        <w:spacing w:line="360" w:lineRule="auto"/>
        <w:ind w:left="0"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交易日期修正</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本次评估基准日为</w:t>
      </w:r>
      <w:r w:rsidRPr="00A214B0">
        <w:rPr>
          <w:rFonts w:ascii="Times New Roman" w:hAnsi="Times New Roman" w:cs="Times New Roman"/>
          <w:bCs/>
          <w:color w:val="000000" w:themeColor="text1"/>
          <w:sz w:val="24"/>
          <w:szCs w:val="24"/>
        </w:rPr>
        <w:t>2019</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4</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30</w:t>
      </w:r>
      <w:r w:rsidRPr="00A214B0">
        <w:rPr>
          <w:rFonts w:ascii="Times New Roman" w:hAnsi="Times New Roman" w:cs="Times New Roman"/>
          <w:bCs/>
          <w:color w:val="000000" w:themeColor="text1"/>
          <w:sz w:val="24"/>
          <w:szCs w:val="24"/>
        </w:rPr>
        <w:t>日，比较案例</w:t>
      </w:r>
      <w:r w:rsidRPr="00A214B0">
        <w:rPr>
          <w:rFonts w:ascii="Times New Roman" w:hAnsi="Times New Roman" w:cs="Times New Roman"/>
          <w:bCs/>
          <w:color w:val="000000" w:themeColor="text1"/>
          <w:sz w:val="24"/>
          <w:szCs w:val="24"/>
        </w:rPr>
        <w:t>A</w:t>
      </w:r>
      <w:r w:rsidRPr="00A214B0">
        <w:rPr>
          <w:rFonts w:ascii="Times New Roman" w:hAnsi="Times New Roman" w:cs="Times New Roman"/>
          <w:bCs/>
          <w:color w:val="000000" w:themeColor="text1"/>
          <w:sz w:val="24"/>
          <w:szCs w:val="24"/>
        </w:rPr>
        <w:t>、案例</w:t>
      </w:r>
      <w:r w:rsidRPr="00A214B0">
        <w:rPr>
          <w:rFonts w:ascii="Times New Roman" w:hAnsi="Times New Roman" w:cs="Times New Roman"/>
          <w:bCs/>
          <w:color w:val="000000" w:themeColor="text1"/>
          <w:sz w:val="24"/>
          <w:szCs w:val="24"/>
        </w:rPr>
        <w:t>B</w:t>
      </w:r>
      <w:r w:rsidRPr="00A214B0">
        <w:rPr>
          <w:rFonts w:ascii="Times New Roman" w:hAnsi="Times New Roman" w:cs="Times New Roman"/>
          <w:bCs/>
          <w:color w:val="000000" w:themeColor="text1"/>
          <w:sz w:val="24"/>
          <w:szCs w:val="24"/>
        </w:rPr>
        <w:t>及案例</w:t>
      </w:r>
      <w:r w:rsidRPr="00A214B0">
        <w:rPr>
          <w:rFonts w:ascii="Times New Roman" w:hAnsi="Times New Roman" w:cs="Times New Roman"/>
          <w:bCs/>
          <w:color w:val="000000" w:themeColor="text1"/>
          <w:sz w:val="24"/>
          <w:szCs w:val="24"/>
        </w:rPr>
        <w:t>C</w:t>
      </w:r>
      <w:r w:rsidRPr="00A214B0">
        <w:rPr>
          <w:rFonts w:ascii="Times New Roman" w:hAnsi="Times New Roman" w:cs="Times New Roman"/>
          <w:bCs/>
          <w:color w:val="000000" w:themeColor="text1"/>
          <w:sz w:val="24"/>
          <w:szCs w:val="24"/>
        </w:rPr>
        <w:t>的交易日期分别为</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10</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12</w:t>
      </w:r>
      <w:r w:rsidRPr="00A214B0">
        <w:rPr>
          <w:rFonts w:ascii="Times New Roman" w:hAnsi="Times New Roman" w:cs="Times New Roman"/>
          <w:bCs/>
          <w:color w:val="000000" w:themeColor="text1"/>
          <w:sz w:val="24"/>
          <w:szCs w:val="24"/>
        </w:rPr>
        <w:t>日、</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7</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13</w:t>
      </w:r>
      <w:r w:rsidRPr="00A214B0">
        <w:rPr>
          <w:rFonts w:ascii="Times New Roman" w:hAnsi="Times New Roman" w:cs="Times New Roman"/>
          <w:bCs/>
          <w:color w:val="000000" w:themeColor="text1"/>
          <w:sz w:val="24"/>
          <w:szCs w:val="24"/>
        </w:rPr>
        <w:t>日、</w:t>
      </w:r>
      <w:r w:rsidRPr="00A214B0">
        <w:rPr>
          <w:rFonts w:ascii="Times New Roman" w:hAnsi="Times New Roman" w:cs="Times New Roman"/>
          <w:bCs/>
          <w:color w:val="000000" w:themeColor="text1"/>
          <w:sz w:val="24"/>
          <w:szCs w:val="24"/>
        </w:rPr>
        <w:t>2018</w:t>
      </w:r>
      <w:r w:rsidRPr="00A214B0">
        <w:rPr>
          <w:rFonts w:ascii="Times New Roman" w:hAnsi="Times New Roman" w:cs="Times New Roman"/>
          <w:bCs/>
          <w:color w:val="000000" w:themeColor="text1"/>
          <w:sz w:val="24"/>
          <w:szCs w:val="24"/>
        </w:rPr>
        <w:t>年</w:t>
      </w:r>
      <w:r w:rsidRPr="00A214B0">
        <w:rPr>
          <w:rFonts w:ascii="Times New Roman" w:hAnsi="Times New Roman" w:cs="Times New Roman"/>
          <w:bCs/>
          <w:color w:val="000000" w:themeColor="text1"/>
          <w:sz w:val="24"/>
          <w:szCs w:val="24"/>
        </w:rPr>
        <w:t>5</w:t>
      </w:r>
      <w:r w:rsidRPr="00A214B0">
        <w:rPr>
          <w:rFonts w:ascii="Times New Roman" w:hAnsi="Times New Roman" w:cs="Times New Roman"/>
          <w:bCs/>
          <w:color w:val="000000" w:themeColor="text1"/>
          <w:sz w:val="24"/>
          <w:szCs w:val="24"/>
        </w:rPr>
        <w:t>月</w:t>
      </w:r>
      <w:r w:rsidRPr="00A214B0">
        <w:rPr>
          <w:rFonts w:ascii="Times New Roman" w:hAnsi="Times New Roman" w:cs="Times New Roman"/>
          <w:bCs/>
          <w:color w:val="000000" w:themeColor="text1"/>
          <w:sz w:val="24"/>
          <w:szCs w:val="24"/>
        </w:rPr>
        <w:t>25</w:t>
      </w:r>
      <w:r w:rsidRPr="00A214B0">
        <w:rPr>
          <w:rFonts w:ascii="Times New Roman" w:hAnsi="Times New Roman" w:cs="Times New Roman"/>
          <w:bCs/>
          <w:color w:val="000000" w:themeColor="text1"/>
          <w:sz w:val="24"/>
          <w:szCs w:val="24"/>
        </w:rPr>
        <w:t>日，设定，比较案例的交易日期距评估基准日均在一年内，据调查委估宗地所在区域近一年土地市场稳定。故修正系数均取为</w:t>
      </w:r>
      <w:r w:rsidRPr="00A214B0">
        <w:rPr>
          <w:rFonts w:ascii="Times New Roman" w:hAnsi="Times New Roman" w:cs="Times New Roman"/>
          <w:bCs/>
          <w:color w:val="000000" w:themeColor="text1"/>
          <w:sz w:val="24"/>
          <w:szCs w:val="24"/>
        </w:rPr>
        <w:t>100/100</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B. </w:t>
      </w:r>
      <w:r w:rsidRPr="00A214B0">
        <w:rPr>
          <w:rFonts w:ascii="Times New Roman" w:hAnsi="Times New Roman" w:cs="Times New Roman"/>
          <w:bCs/>
          <w:color w:val="000000" w:themeColor="text1"/>
          <w:sz w:val="24"/>
          <w:szCs w:val="24"/>
        </w:rPr>
        <w:t>交易情况修正</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待估宗地与三个可比案例的交易情况相同，故修正系数均取为</w:t>
      </w:r>
      <w:r w:rsidRPr="00A214B0">
        <w:rPr>
          <w:rFonts w:ascii="Times New Roman" w:hAnsi="Times New Roman" w:cs="Times New Roman"/>
          <w:bCs/>
          <w:color w:val="000000" w:themeColor="text1"/>
          <w:sz w:val="24"/>
          <w:szCs w:val="24"/>
        </w:rPr>
        <w:t>100/100</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C. </w:t>
      </w:r>
      <w:r w:rsidRPr="00A214B0">
        <w:rPr>
          <w:rFonts w:ascii="Times New Roman" w:hAnsi="Times New Roman" w:cs="Times New Roman"/>
          <w:bCs/>
          <w:color w:val="000000" w:themeColor="text1"/>
          <w:sz w:val="24"/>
          <w:szCs w:val="24"/>
        </w:rPr>
        <w:t>区域因素修正</w:t>
      </w:r>
    </w:p>
    <w:p w:rsidR="00D56508" w:rsidRPr="00A214B0" w:rsidRDefault="00F1265B">
      <w:pPr>
        <w:adjustRightInd w:val="0"/>
        <w:snapToGrid w:val="0"/>
        <w:spacing w:line="360" w:lineRule="auto"/>
        <w:ind w:firstLineChars="150" w:firstLine="271"/>
        <w:jc w:val="center"/>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区域因素说明表</w:t>
      </w:r>
    </w:p>
    <w:tbl>
      <w:tblPr>
        <w:tblW w:w="9049" w:type="dxa"/>
        <w:tblLayout w:type="fixed"/>
        <w:tblLook w:val="04A0" w:firstRow="1" w:lastRow="0" w:firstColumn="1" w:lastColumn="0" w:noHBand="0" w:noVBand="1"/>
      </w:tblPr>
      <w:tblGrid>
        <w:gridCol w:w="573"/>
        <w:gridCol w:w="1684"/>
        <w:gridCol w:w="1698"/>
        <w:gridCol w:w="1724"/>
        <w:gridCol w:w="1672"/>
        <w:gridCol w:w="1698"/>
      </w:tblGrid>
      <w:tr w:rsidR="00D56508" w:rsidRPr="00A214B0">
        <w:trPr>
          <w:trHeight w:val="280"/>
          <w:tblHeader/>
        </w:trPr>
        <w:tc>
          <w:tcPr>
            <w:tcW w:w="22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比较因素</w:t>
            </w:r>
          </w:p>
        </w:tc>
        <w:tc>
          <w:tcPr>
            <w:tcW w:w="169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待估宗地</w:t>
            </w:r>
          </w:p>
        </w:tc>
        <w:tc>
          <w:tcPr>
            <w:tcW w:w="1724"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A</w:t>
            </w:r>
          </w:p>
        </w:tc>
        <w:tc>
          <w:tcPr>
            <w:tcW w:w="1672"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B</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C</w:t>
            </w:r>
          </w:p>
        </w:tc>
      </w:tr>
      <w:tr w:rsidR="00D56508" w:rsidRPr="00A214B0">
        <w:trPr>
          <w:trHeight w:val="720"/>
        </w:trPr>
        <w:tc>
          <w:tcPr>
            <w:tcW w:w="22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宗地名称</w:t>
            </w:r>
          </w:p>
        </w:tc>
        <w:tc>
          <w:tcPr>
            <w:tcW w:w="169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一期土地</w:t>
            </w:r>
          </w:p>
        </w:tc>
        <w:tc>
          <w:tcPr>
            <w:tcW w:w="1724"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泰高工挂</w:t>
            </w:r>
            <w:r w:rsidRPr="00A214B0">
              <w:rPr>
                <w:rFonts w:ascii="Times New Roman" w:hAnsi="Times New Roman" w:cs="Times New Roman"/>
                <w:color w:val="000000" w:themeColor="text1"/>
                <w:kern w:val="0"/>
                <w:sz w:val="18"/>
                <w:szCs w:val="18"/>
              </w:rPr>
              <w:t>[2018]4-1</w:t>
            </w:r>
            <w:r w:rsidRPr="00A214B0">
              <w:rPr>
                <w:rFonts w:ascii="Times New Roman" w:hAnsi="Times New Roman" w:cs="Times New Roman"/>
                <w:color w:val="000000" w:themeColor="text1"/>
                <w:kern w:val="0"/>
                <w:sz w:val="18"/>
                <w:szCs w:val="18"/>
              </w:rPr>
              <w:t>号</w:t>
            </w:r>
          </w:p>
        </w:tc>
        <w:tc>
          <w:tcPr>
            <w:tcW w:w="1672"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泰高工挂</w:t>
            </w:r>
            <w:r w:rsidRPr="00A214B0">
              <w:rPr>
                <w:rFonts w:ascii="Times New Roman" w:hAnsi="Times New Roman" w:cs="Times New Roman"/>
                <w:color w:val="000000" w:themeColor="text1"/>
                <w:kern w:val="0"/>
                <w:sz w:val="18"/>
                <w:szCs w:val="18"/>
              </w:rPr>
              <w:t>[2018]3-3</w:t>
            </w:r>
            <w:r w:rsidRPr="00A214B0">
              <w:rPr>
                <w:rFonts w:ascii="Times New Roman" w:hAnsi="Times New Roman" w:cs="Times New Roman"/>
                <w:color w:val="000000" w:themeColor="text1"/>
                <w:kern w:val="0"/>
                <w:sz w:val="18"/>
                <w:szCs w:val="18"/>
              </w:rPr>
              <w:t>号</w:t>
            </w:r>
          </w:p>
        </w:tc>
        <w:tc>
          <w:tcPr>
            <w:tcW w:w="169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泰高工挂</w:t>
            </w:r>
            <w:r w:rsidRPr="00A214B0">
              <w:rPr>
                <w:rFonts w:ascii="Times New Roman" w:hAnsi="Times New Roman" w:cs="Times New Roman"/>
                <w:color w:val="000000" w:themeColor="text1"/>
                <w:kern w:val="0"/>
                <w:sz w:val="18"/>
                <w:szCs w:val="18"/>
              </w:rPr>
              <w:t>[2018]2-1</w:t>
            </w:r>
            <w:r w:rsidRPr="00A214B0">
              <w:rPr>
                <w:rFonts w:ascii="Times New Roman" w:hAnsi="Times New Roman" w:cs="Times New Roman"/>
                <w:color w:val="000000" w:themeColor="text1"/>
                <w:kern w:val="0"/>
                <w:sz w:val="18"/>
                <w:szCs w:val="18"/>
              </w:rPr>
              <w:t>号</w:t>
            </w:r>
          </w:p>
        </w:tc>
      </w:tr>
      <w:tr w:rsidR="00D56508" w:rsidRPr="00A214B0">
        <w:trPr>
          <w:trHeight w:val="750"/>
        </w:trPr>
        <w:tc>
          <w:tcPr>
            <w:tcW w:w="22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所处位置</w:t>
            </w:r>
          </w:p>
        </w:tc>
        <w:tc>
          <w:tcPr>
            <w:tcW w:w="169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1724"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高港区永安洲镇化工园区盛园路西侧、裕兴路南侧地块</w:t>
            </w:r>
          </w:p>
        </w:tc>
        <w:tc>
          <w:tcPr>
            <w:tcW w:w="1672"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高港区永安洲镇疏港北路西侧、益海粮油</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泰州</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工业有限公司北侧地块</w:t>
            </w:r>
          </w:p>
        </w:tc>
        <w:tc>
          <w:tcPr>
            <w:tcW w:w="169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高港区永安洲镇创业路西侧、中心河南侧地块</w:t>
            </w:r>
          </w:p>
        </w:tc>
      </w:tr>
      <w:tr w:rsidR="00D56508" w:rsidRPr="00A214B0">
        <w:trPr>
          <w:trHeight w:val="280"/>
        </w:trPr>
        <w:tc>
          <w:tcPr>
            <w:tcW w:w="22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交易均价（元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p>
        </w:tc>
        <w:tc>
          <w:tcPr>
            <w:tcW w:w="169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待估</w:t>
            </w:r>
          </w:p>
        </w:tc>
        <w:tc>
          <w:tcPr>
            <w:tcW w:w="1724"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439.13 </w:t>
            </w:r>
          </w:p>
        </w:tc>
        <w:tc>
          <w:tcPr>
            <w:tcW w:w="1672"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434.86 </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430.58 </w:t>
            </w:r>
          </w:p>
        </w:tc>
      </w:tr>
      <w:tr w:rsidR="00D56508" w:rsidRPr="00A214B0">
        <w:trPr>
          <w:trHeight w:val="280"/>
        </w:trPr>
        <w:tc>
          <w:tcPr>
            <w:tcW w:w="573" w:type="dxa"/>
            <w:vMerge w:val="restart"/>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区</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域</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因</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素</w:t>
            </w: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区域位置级别</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工业集聚程度</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交通便捷程度</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公共服务设施</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基础配套设施</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较好</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环境质量水平</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城市规划限制</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有一定限制</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有一定限制</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有一定限制</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有一定限制</w:t>
            </w:r>
          </w:p>
        </w:tc>
      </w:tr>
      <w:tr w:rsidR="00D56508" w:rsidRPr="00A214B0">
        <w:trPr>
          <w:trHeight w:val="280"/>
        </w:trPr>
        <w:tc>
          <w:tcPr>
            <w:tcW w:w="573" w:type="dxa"/>
            <w:vMerge/>
            <w:tcBorders>
              <w:top w:val="nil"/>
              <w:left w:val="single" w:sz="4" w:space="0" w:color="auto"/>
              <w:bottom w:val="single" w:sz="4" w:space="0" w:color="auto"/>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其他因素</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724"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672"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c>
          <w:tcPr>
            <w:tcW w:w="169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一般</w:t>
            </w:r>
          </w:p>
        </w:tc>
      </w:tr>
    </w:tbl>
    <w:p w:rsidR="00D56508" w:rsidRPr="00A214B0" w:rsidRDefault="00D56508">
      <w:pPr>
        <w:autoSpaceDE w:val="0"/>
        <w:autoSpaceDN w:val="0"/>
        <w:ind w:firstLineChars="100" w:firstLine="181"/>
        <w:jc w:val="left"/>
        <w:rPr>
          <w:rFonts w:ascii="Times New Roman" w:hAnsi="Times New Roman" w:cs="Times New Roman"/>
          <w:b/>
          <w:color w:val="000000" w:themeColor="text1"/>
          <w:sz w:val="18"/>
          <w:szCs w:val="18"/>
        </w:rPr>
      </w:pPr>
    </w:p>
    <w:p w:rsidR="00D56508" w:rsidRPr="00A214B0" w:rsidRDefault="00F1265B">
      <w:pPr>
        <w:autoSpaceDE w:val="0"/>
        <w:autoSpaceDN w:val="0"/>
        <w:ind w:firstLineChars="100" w:firstLine="181"/>
        <w:jc w:val="center"/>
        <w:rPr>
          <w:rFonts w:ascii="Times New Roman" w:hAnsi="Times New Roman" w:cs="Times New Roman"/>
          <w:b/>
          <w:color w:val="000000" w:themeColor="text1"/>
          <w:sz w:val="18"/>
          <w:szCs w:val="18"/>
        </w:rPr>
      </w:pPr>
      <w:r w:rsidRPr="00A214B0">
        <w:rPr>
          <w:rFonts w:ascii="Times New Roman" w:hAnsi="Times New Roman" w:cs="Times New Roman"/>
          <w:b/>
          <w:color w:val="000000" w:themeColor="text1"/>
          <w:sz w:val="18"/>
          <w:szCs w:val="18"/>
        </w:rPr>
        <w:t>区域因素修正表</w:t>
      </w:r>
    </w:p>
    <w:tbl>
      <w:tblPr>
        <w:tblW w:w="9049" w:type="dxa"/>
        <w:tblLayout w:type="fixed"/>
        <w:tblLook w:val="04A0" w:firstRow="1" w:lastRow="0" w:firstColumn="1" w:lastColumn="0" w:noHBand="0" w:noVBand="1"/>
      </w:tblPr>
      <w:tblGrid>
        <w:gridCol w:w="574"/>
        <w:gridCol w:w="1684"/>
        <w:gridCol w:w="653"/>
        <w:gridCol w:w="366"/>
        <w:gridCol w:w="679"/>
        <w:gridCol w:w="653"/>
        <w:gridCol w:w="353"/>
        <w:gridCol w:w="719"/>
        <w:gridCol w:w="654"/>
        <w:gridCol w:w="365"/>
        <w:gridCol w:w="653"/>
        <w:gridCol w:w="653"/>
        <w:gridCol w:w="391"/>
        <w:gridCol w:w="652"/>
      </w:tblGrid>
      <w:tr w:rsidR="00D56508" w:rsidRPr="00A214B0">
        <w:trPr>
          <w:trHeight w:val="280"/>
        </w:trPr>
        <w:tc>
          <w:tcPr>
            <w:tcW w:w="22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比较因素</w:t>
            </w:r>
          </w:p>
        </w:tc>
        <w:tc>
          <w:tcPr>
            <w:tcW w:w="1698"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待估宗地</w:t>
            </w:r>
          </w:p>
        </w:tc>
        <w:tc>
          <w:tcPr>
            <w:tcW w:w="1725"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A</w:t>
            </w:r>
          </w:p>
        </w:tc>
        <w:tc>
          <w:tcPr>
            <w:tcW w:w="167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B</w:t>
            </w:r>
          </w:p>
        </w:tc>
        <w:tc>
          <w:tcPr>
            <w:tcW w:w="1696"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C</w:t>
            </w:r>
          </w:p>
        </w:tc>
      </w:tr>
      <w:tr w:rsidR="00D56508" w:rsidRPr="00A214B0">
        <w:trPr>
          <w:trHeight w:val="680"/>
        </w:trPr>
        <w:tc>
          <w:tcPr>
            <w:tcW w:w="22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所处位置</w:t>
            </w:r>
          </w:p>
        </w:tc>
        <w:tc>
          <w:tcPr>
            <w:tcW w:w="1698"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1725"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高港区永安洲镇化工园区盛园路西侧、裕兴路南侧地块</w:t>
            </w:r>
          </w:p>
        </w:tc>
        <w:tc>
          <w:tcPr>
            <w:tcW w:w="167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高港区永安洲镇疏港北路西侧、益海粮油</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泰州</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工业有限公司北侧地块</w:t>
            </w:r>
          </w:p>
        </w:tc>
        <w:tc>
          <w:tcPr>
            <w:tcW w:w="1696"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高港区永安洲镇创业路西侧、中心河南侧地块</w:t>
            </w:r>
          </w:p>
        </w:tc>
      </w:tr>
      <w:tr w:rsidR="00D56508" w:rsidRPr="00A214B0">
        <w:trPr>
          <w:trHeight w:val="280"/>
        </w:trPr>
        <w:tc>
          <w:tcPr>
            <w:tcW w:w="22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交易均价（元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p>
        </w:tc>
        <w:tc>
          <w:tcPr>
            <w:tcW w:w="1698"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待估</w:t>
            </w:r>
          </w:p>
        </w:tc>
        <w:tc>
          <w:tcPr>
            <w:tcW w:w="1725"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439.13 </w:t>
            </w:r>
          </w:p>
        </w:tc>
        <w:tc>
          <w:tcPr>
            <w:tcW w:w="167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434.86 </w:t>
            </w:r>
          </w:p>
        </w:tc>
        <w:tc>
          <w:tcPr>
            <w:tcW w:w="1696"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430.58 </w:t>
            </w:r>
          </w:p>
        </w:tc>
      </w:tr>
      <w:tr w:rsidR="00D56508" w:rsidRPr="00A214B0">
        <w:trPr>
          <w:trHeight w:val="280"/>
        </w:trPr>
        <w:tc>
          <w:tcPr>
            <w:tcW w:w="574" w:type="dxa"/>
            <w:vMerge w:val="restart"/>
            <w:tcBorders>
              <w:top w:val="nil"/>
              <w:left w:val="single" w:sz="4" w:space="0" w:color="auto"/>
              <w:bottom w:val="single" w:sz="4" w:space="0" w:color="000000"/>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区</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域</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因</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素</w:t>
            </w: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区域位置级别</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商业繁华程度</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交通便捷程度</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公共服务设施</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基础配套设施</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环境质量水平</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城市规划限制</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vMerge/>
            <w:tcBorders>
              <w:top w:val="nil"/>
              <w:left w:val="single" w:sz="4" w:space="0" w:color="auto"/>
              <w:bottom w:val="single" w:sz="4" w:space="0" w:color="000000"/>
              <w:right w:val="single" w:sz="4"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84"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其他因素</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6"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7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71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4"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65"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3"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53"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391" w:type="dxa"/>
            <w:tcBorders>
              <w:top w:val="nil"/>
              <w:left w:val="nil"/>
              <w:bottom w:val="single" w:sz="4" w:space="0" w:color="auto"/>
              <w:right w:val="nil"/>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w:t>
            </w:r>
          </w:p>
        </w:tc>
        <w:tc>
          <w:tcPr>
            <w:tcW w:w="652"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r>
      <w:tr w:rsidR="00D56508" w:rsidRPr="00A214B0">
        <w:trPr>
          <w:trHeight w:val="280"/>
        </w:trPr>
        <w:tc>
          <w:tcPr>
            <w:tcW w:w="574"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系数</w:t>
            </w:r>
          </w:p>
        </w:tc>
        <w:tc>
          <w:tcPr>
            <w:tcW w:w="1684"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698"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1725"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1.0000 </w:t>
            </w:r>
          </w:p>
        </w:tc>
        <w:tc>
          <w:tcPr>
            <w:tcW w:w="167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1.0000 </w:t>
            </w:r>
          </w:p>
        </w:tc>
        <w:tc>
          <w:tcPr>
            <w:tcW w:w="1696"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1.0000 </w:t>
            </w:r>
          </w:p>
        </w:tc>
      </w:tr>
    </w:tbl>
    <w:p w:rsidR="00D56508" w:rsidRPr="00A214B0" w:rsidRDefault="00D56508">
      <w:pPr>
        <w:autoSpaceDE w:val="0"/>
        <w:autoSpaceDN w:val="0"/>
        <w:ind w:firstLineChars="100" w:firstLine="240"/>
        <w:rPr>
          <w:rFonts w:ascii="Times New Roman" w:hAnsi="Times New Roman" w:cs="Times New Roman"/>
          <w:bCs/>
          <w:color w:val="000000" w:themeColor="text1"/>
          <w:sz w:val="24"/>
          <w:szCs w:val="24"/>
        </w:rPr>
      </w:pPr>
    </w:p>
    <w:p w:rsidR="00D56508" w:rsidRPr="00A214B0" w:rsidRDefault="00F1265B">
      <w:pPr>
        <w:autoSpaceDE w:val="0"/>
        <w:autoSpaceDN w:val="0"/>
        <w:ind w:firstLineChars="100" w:firstLine="240"/>
        <w:rPr>
          <w:rFonts w:ascii="Times New Roman" w:hAnsi="Times New Roman" w:cs="Times New Roman"/>
          <w:bCs/>
          <w:color w:val="000000" w:themeColor="text1"/>
          <w:sz w:val="24"/>
          <w:szCs w:val="24"/>
        </w:rPr>
      </w:pPr>
      <w:bookmarkStart w:id="77" w:name="_Toc11113"/>
      <w:r w:rsidRPr="00A214B0">
        <w:rPr>
          <w:rFonts w:ascii="Times New Roman" w:hAnsi="Times New Roman" w:cs="Times New Roman"/>
          <w:bCs/>
          <w:color w:val="000000" w:themeColor="text1"/>
          <w:sz w:val="24"/>
          <w:szCs w:val="24"/>
        </w:rPr>
        <w:t xml:space="preserve">D. </w:t>
      </w:r>
      <w:r w:rsidRPr="00A214B0">
        <w:rPr>
          <w:rFonts w:ascii="Times New Roman" w:hAnsi="Times New Roman" w:cs="Times New Roman"/>
          <w:bCs/>
          <w:color w:val="000000" w:themeColor="text1"/>
          <w:sz w:val="24"/>
          <w:szCs w:val="24"/>
        </w:rPr>
        <w:t>个别因素修正</w:t>
      </w:r>
    </w:p>
    <w:p w:rsidR="00D56508" w:rsidRPr="00A214B0" w:rsidRDefault="00F1265B">
      <w:pPr>
        <w:autoSpaceDE w:val="0"/>
        <w:autoSpaceDN w:val="0"/>
        <w:ind w:firstLineChars="100" w:firstLine="211"/>
        <w:jc w:val="center"/>
        <w:rPr>
          <w:rFonts w:ascii="Times New Roman" w:hAnsi="Times New Roman" w:cs="Times New Roman"/>
          <w:b/>
          <w:bCs/>
          <w:color w:val="000000" w:themeColor="text1"/>
          <w:szCs w:val="21"/>
        </w:rPr>
      </w:pPr>
      <w:r w:rsidRPr="00A214B0">
        <w:rPr>
          <w:rFonts w:ascii="Times New Roman" w:hAnsi="Times New Roman" w:cs="Times New Roman"/>
          <w:b/>
          <w:bCs/>
          <w:color w:val="000000" w:themeColor="text1"/>
          <w:szCs w:val="21"/>
        </w:rPr>
        <w:t>个别因素说明</w:t>
      </w:r>
    </w:p>
    <w:tbl>
      <w:tblPr>
        <w:tblW w:w="9049" w:type="dxa"/>
        <w:tblLayout w:type="fixed"/>
        <w:tblLook w:val="04A0" w:firstRow="1" w:lastRow="0" w:firstColumn="1" w:lastColumn="0" w:noHBand="0" w:noVBand="1"/>
      </w:tblPr>
      <w:tblGrid>
        <w:gridCol w:w="543"/>
        <w:gridCol w:w="1837"/>
        <w:gridCol w:w="1667"/>
        <w:gridCol w:w="1693"/>
        <w:gridCol w:w="1641"/>
        <w:gridCol w:w="1668"/>
      </w:tblGrid>
      <w:tr w:rsidR="00D56508" w:rsidRPr="00A214B0">
        <w:trPr>
          <w:trHeight w:val="280"/>
          <w:tblHeader/>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比较因素</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待估宗地</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A</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B</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C</w:t>
            </w:r>
          </w:p>
        </w:tc>
      </w:tr>
      <w:tr w:rsidR="00D56508" w:rsidRPr="00A214B0">
        <w:trPr>
          <w:trHeight w:val="72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宗地名称</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一期土地</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泰高工挂</w:t>
            </w:r>
            <w:r w:rsidRPr="00A214B0">
              <w:rPr>
                <w:rFonts w:ascii="Times New Roman" w:hAnsi="Times New Roman" w:cs="Times New Roman"/>
                <w:color w:val="000000" w:themeColor="text1"/>
                <w:kern w:val="0"/>
                <w:sz w:val="18"/>
                <w:szCs w:val="18"/>
              </w:rPr>
              <w:t>[2018]4-1</w:t>
            </w:r>
            <w:r w:rsidRPr="00A214B0">
              <w:rPr>
                <w:rFonts w:ascii="Times New Roman" w:hAnsi="Times New Roman" w:cs="Times New Roman"/>
                <w:color w:val="000000" w:themeColor="text1"/>
                <w:kern w:val="0"/>
                <w:sz w:val="18"/>
                <w:szCs w:val="18"/>
              </w:rPr>
              <w:t>号</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泰高工挂</w:t>
            </w:r>
            <w:r w:rsidRPr="00A214B0">
              <w:rPr>
                <w:rFonts w:ascii="Times New Roman" w:hAnsi="Times New Roman" w:cs="Times New Roman"/>
                <w:color w:val="000000" w:themeColor="text1"/>
                <w:kern w:val="0"/>
                <w:sz w:val="18"/>
                <w:szCs w:val="18"/>
              </w:rPr>
              <w:t>[2018]3-3</w:t>
            </w:r>
            <w:r w:rsidRPr="00A214B0">
              <w:rPr>
                <w:rFonts w:ascii="Times New Roman" w:hAnsi="Times New Roman" w:cs="Times New Roman"/>
                <w:color w:val="000000" w:themeColor="text1"/>
                <w:kern w:val="0"/>
                <w:sz w:val="18"/>
                <w:szCs w:val="18"/>
              </w:rPr>
              <w:t>号</w:t>
            </w:r>
          </w:p>
        </w:tc>
        <w:tc>
          <w:tcPr>
            <w:tcW w:w="166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泰高工挂</w:t>
            </w:r>
            <w:r w:rsidRPr="00A214B0">
              <w:rPr>
                <w:rFonts w:ascii="Times New Roman" w:hAnsi="Times New Roman" w:cs="Times New Roman"/>
                <w:color w:val="000000" w:themeColor="text1"/>
                <w:kern w:val="0"/>
                <w:sz w:val="18"/>
                <w:szCs w:val="18"/>
              </w:rPr>
              <w:t>[2018]2-1</w:t>
            </w:r>
            <w:r w:rsidRPr="00A214B0">
              <w:rPr>
                <w:rFonts w:ascii="Times New Roman" w:hAnsi="Times New Roman" w:cs="Times New Roman"/>
                <w:color w:val="000000" w:themeColor="text1"/>
                <w:kern w:val="0"/>
                <w:sz w:val="18"/>
                <w:szCs w:val="18"/>
              </w:rPr>
              <w:t>号</w:t>
            </w:r>
          </w:p>
        </w:tc>
      </w:tr>
      <w:tr w:rsidR="00D56508" w:rsidRPr="00A214B0">
        <w:trPr>
          <w:trHeight w:val="75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所处位置</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高港区永安洲镇化工园区盛园路西侧、裕兴路南侧地块</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高港区永安洲镇疏港北路西侧、益海粮油</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泰州</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工业有限公司北侧地块</w:t>
            </w:r>
          </w:p>
        </w:tc>
        <w:tc>
          <w:tcPr>
            <w:tcW w:w="166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高港区永安洲镇创业路西侧、中心河南侧地块</w:t>
            </w:r>
          </w:p>
        </w:tc>
      </w:tr>
      <w:tr w:rsidR="00D56508" w:rsidRPr="00A214B0">
        <w:trPr>
          <w:trHeight w:val="28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交易均价（元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p>
        </w:tc>
        <w:tc>
          <w:tcPr>
            <w:tcW w:w="1667"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待估</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439.13 </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434.86 </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430.58 </w:t>
            </w:r>
          </w:p>
        </w:tc>
      </w:tr>
      <w:tr w:rsidR="00D56508" w:rsidRPr="00A214B0">
        <w:trPr>
          <w:trHeight w:val="280"/>
        </w:trPr>
        <w:tc>
          <w:tcPr>
            <w:tcW w:w="543" w:type="dxa"/>
            <w:vMerge w:val="restart"/>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个</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别</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因</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素</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宗地面积</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96759.00 </w:t>
            </w:r>
          </w:p>
        </w:tc>
        <w:tc>
          <w:tcPr>
            <w:tcW w:w="169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23114.00 </w:t>
            </w:r>
          </w:p>
        </w:tc>
        <w:tc>
          <w:tcPr>
            <w:tcW w:w="164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10923.00 </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53649.00 </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宗地地形地基条件</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c>
          <w:tcPr>
            <w:tcW w:w="166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宗地形状</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较规则</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较规则</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较规则</w:t>
            </w:r>
          </w:p>
        </w:tc>
        <w:tc>
          <w:tcPr>
            <w:tcW w:w="166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较规则</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宗地内外开发程度</w:t>
            </w:r>
          </w:p>
        </w:tc>
        <w:tc>
          <w:tcPr>
            <w:tcW w:w="1667"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五通一平</w:t>
            </w:r>
          </w:p>
        </w:tc>
        <w:tc>
          <w:tcPr>
            <w:tcW w:w="1693"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五通一平</w:t>
            </w:r>
          </w:p>
        </w:tc>
        <w:tc>
          <w:tcPr>
            <w:tcW w:w="1641"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五通一平</w:t>
            </w:r>
          </w:p>
        </w:tc>
        <w:tc>
          <w:tcPr>
            <w:tcW w:w="166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五通一平</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宗地容积率</w:t>
            </w:r>
          </w:p>
        </w:tc>
        <w:tc>
          <w:tcPr>
            <w:tcW w:w="166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相同</w:t>
            </w:r>
          </w:p>
        </w:tc>
        <w:tc>
          <w:tcPr>
            <w:tcW w:w="169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相同</w:t>
            </w:r>
          </w:p>
        </w:tc>
        <w:tc>
          <w:tcPr>
            <w:tcW w:w="164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相同</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相同</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宗地使用限制</w:t>
            </w:r>
          </w:p>
        </w:tc>
        <w:tc>
          <w:tcPr>
            <w:tcW w:w="166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有一定限制</w:t>
            </w:r>
          </w:p>
        </w:tc>
        <w:tc>
          <w:tcPr>
            <w:tcW w:w="169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有一定限制</w:t>
            </w:r>
          </w:p>
        </w:tc>
        <w:tc>
          <w:tcPr>
            <w:tcW w:w="164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有一定限制</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有一定限制</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土地剩余使用年限</w:t>
            </w:r>
          </w:p>
        </w:tc>
        <w:tc>
          <w:tcPr>
            <w:tcW w:w="166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50</w:t>
            </w:r>
          </w:p>
        </w:tc>
        <w:tc>
          <w:tcPr>
            <w:tcW w:w="169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50</w:t>
            </w:r>
          </w:p>
        </w:tc>
        <w:tc>
          <w:tcPr>
            <w:tcW w:w="164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50</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50</w:t>
            </w:r>
          </w:p>
        </w:tc>
      </w:tr>
      <w:tr w:rsidR="00D56508" w:rsidRPr="00A214B0">
        <w:trPr>
          <w:trHeight w:val="280"/>
        </w:trPr>
        <w:tc>
          <w:tcPr>
            <w:tcW w:w="543"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其他因素</w:t>
            </w:r>
          </w:p>
        </w:tc>
        <w:tc>
          <w:tcPr>
            <w:tcW w:w="166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好</w:t>
            </w:r>
          </w:p>
        </w:tc>
        <w:tc>
          <w:tcPr>
            <w:tcW w:w="169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c>
          <w:tcPr>
            <w:tcW w:w="164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c>
          <w:tcPr>
            <w:tcW w:w="166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一般</w:t>
            </w:r>
          </w:p>
        </w:tc>
      </w:tr>
    </w:tbl>
    <w:p w:rsidR="00D56508" w:rsidRPr="00A214B0" w:rsidRDefault="00D56508">
      <w:pPr>
        <w:autoSpaceDE w:val="0"/>
        <w:autoSpaceDN w:val="0"/>
        <w:ind w:firstLineChars="100" w:firstLine="211"/>
        <w:rPr>
          <w:rFonts w:ascii="Times New Roman" w:hAnsi="Times New Roman" w:cs="Times New Roman"/>
          <w:b/>
          <w:bCs/>
          <w:color w:val="000000" w:themeColor="text1"/>
          <w:szCs w:val="21"/>
        </w:rPr>
      </w:pPr>
    </w:p>
    <w:p w:rsidR="00D56508" w:rsidRPr="00A214B0" w:rsidRDefault="00F1265B">
      <w:pPr>
        <w:autoSpaceDE w:val="0"/>
        <w:autoSpaceDN w:val="0"/>
        <w:ind w:firstLineChars="100" w:firstLine="211"/>
        <w:jc w:val="center"/>
        <w:rPr>
          <w:rFonts w:ascii="Times New Roman" w:hAnsi="Times New Roman" w:cs="Times New Roman"/>
          <w:b/>
          <w:bCs/>
          <w:color w:val="000000" w:themeColor="text1"/>
          <w:szCs w:val="21"/>
        </w:rPr>
      </w:pPr>
      <w:r w:rsidRPr="00A214B0">
        <w:rPr>
          <w:rFonts w:ascii="Times New Roman" w:hAnsi="Times New Roman" w:cs="Times New Roman"/>
          <w:b/>
          <w:bCs/>
          <w:color w:val="000000" w:themeColor="text1"/>
          <w:szCs w:val="21"/>
        </w:rPr>
        <w:t>个别因素修正表</w:t>
      </w:r>
    </w:p>
    <w:tbl>
      <w:tblPr>
        <w:tblW w:w="9049" w:type="dxa"/>
        <w:tblLayout w:type="fixed"/>
        <w:tblLook w:val="04A0" w:firstRow="1" w:lastRow="0" w:firstColumn="1" w:lastColumn="0" w:noHBand="0" w:noVBand="1"/>
      </w:tblPr>
      <w:tblGrid>
        <w:gridCol w:w="560"/>
        <w:gridCol w:w="1838"/>
        <w:gridCol w:w="641"/>
        <w:gridCol w:w="352"/>
        <w:gridCol w:w="666"/>
        <w:gridCol w:w="640"/>
        <w:gridCol w:w="341"/>
        <w:gridCol w:w="708"/>
        <w:gridCol w:w="642"/>
        <w:gridCol w:w="355"/>
        <w:gridCol w:w="644"/>
        <w:gridCol w:w="643"/>
        <w:gridCol w:w="380"/>
        <w:gridCol w:w="639"/>
      </w:tblGrid>
      <w:tr w:rsidR="00D56508" w:rsidRPr="00A214B0">
        <w:trPr>
          <w:trHeight w:val="280"/>
          <w:tblHeader/>
        </w:trPr>
        <w:tc>
          <w:tcPr>
            <w:tcW w:w="2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比较因素</w:t>
            </w:r>
          </w:p>
        </w:tc>
        <w:tc>
          <w:tcPr>
            <w:tcW w:w="165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r w:rsidRPr="00A214B0">
              <w:rPr>
                <w:rFonts w:ascii="Times New Roman" w:hAnsi="Times New Roman" w:cs="Times New Roman"/>
                <w:color w:val="000000" w:themeColor="text1"/>
                <w:kern w:val="0"/>
                <w:sz w:val="18"/>
                <w:szCs w:val="18"/>
              </w:rPr>
              <w:t>待估宗地</w:t>
            </w:r>
          </w:p>
        </w:tc>
        <w:tc>
          <w:tcPr>
            <w:tcW w:w="168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A</w:t>
            </w:r>
          </w:p>
        </w:tc>
        <w:tc>
          <w:tcPr>
            <w:tcW w:w="1641"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B</w:t>
            </w:r>
          </w:p>
        </w:tc>
        <w:tc>
          <w:tcPr>
            <w:tcW w:w="166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案例</w:t>
            </w:r>
            <w:r w:rsidRPr="00A214B0">
              <w:rPr>
                <w:rFonts w:ascii="Times New Roman" w:hAnsi="Times New Roman" w:cs="Times New Roman"/>
                <w:color w:val="000000" w:themeColor="text1"/>
                <w:kern w:val="0"/>
                <w:sz w:val="18"/>
                <w:szCs w:val="18"/>
              </w:rPr>
              <w:t>C</w:t>
            </w:r>
          </w:p>
        </w:tc>
      </w:tr>
      <w:tr w:rsidR="00D56508" w:rsidRPr="00A214B0">
        <w:trPr>
          <w:trHeight w:val="680"/>
        </w:trPr>
        <w:tc>
          <w:tcPr>
            <w:tcW w:w="2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所处位置</w:t>
            </w:r>
          </w:p>
        </w:tc>
        <w:tc>
          <w:tcPr>
            <w:tcW w:w="165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高港区永安洲镇建桥路南侧</w:t>
            </w:r>
          </w:p>
        </w:tc>
        <w:tc>
          <w:tcPr>
            <w:tcW w:w="168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高港区永安洲镇化工园区盛园路西侧、裕兴路南侧地块</w:t>
            </w:r>
          </w:p>
        </w:tc>
        <w:tc>
          <w:tcPr>
            <w:tcW w:w="1641"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高港区永安洲镇疏港北路西侧、益海粮油</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泰州</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工业有限公司北侧地块</w:t>
            </w:r>
          </w:p>
        </w:tc>
        <w:tc>
          <w:tcPr>
            <w:tcW w:w="166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高港区永安洲镇创业路西侧、中心河南侧地块</w:t>
            </w:r>
          </w:p>
        </w:tc>
      </w:tr>
      <w:tr w:rsidR="00D56508" w:rsidRPr="00A214B0">
        <w:trPr>
          <w:trHeight w:val="280"/>
        </w:trPr>
        <w:tc>
          <w:tcPr>
            <w:tcW w:w="2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交易均价（元</w:t>
            </w:r>
            <w:r w:rsidRPr="00A214B0">
              <w:rPr>
                <w:rFonts w:ascii="Times New Roman" w:hAnsi="Times New Roman" w:cs="Times New Roman"/>
                <w:color w:val="000000" w:themeColor="text1"/>
                <w:kern w:val="0"/>
                <w:sz w:val="18"/>
                <w:szCs w:val="18"/>
              </w:rPr>
              <w:t>/</w:t>
            </w:r>
            <w:r w:rsidRPr="00A214B0">
              <w:rPr>
                <w:rFonts w:ascii="Times New Roman" w:hAnsi="Times New Roman" w:cs="Times New Roman"/>
                <w:color w:val="000000" w:themeColor="text1"/>
                <w:kern w:val="0"/>
                <w:sz w:val="18"/>
                <w:szCs w:val="18"/>
              </w:rPr>
              <w:t>㎡）</w:t>
            </w:r>
          </w:p>
        </w:tc>
        <w:tc>
          <w:tcPr>
            <w:tcW w:w="165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待估</w:t>
            </w:r>
          </w:p>
        </w:tc>
        <w:tc>
          <w:tcPr>
            <w:tcW w:w="168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439.13 </w:t>
            </w:r>
          </w:p>
        </w:tc>
        <w:tc>
          <w:tcPr>
            <w:tcW w:w="1641"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434.86 </w:t>
            </w:r>
          </w:p>
        </w:tc>
        <w:tc>
          <w:tcPr>
            <w:tcW w:w="166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430.58 </w:t>
            </w:r>
          </w:p>
        </w:tc>
      </w:tr>
      <w:tr w:rsidR="00D56508" w:rsidRPr="00A214B0">
        <w:trPr>
          <w:trHeight w:val="280"/>
        </w:trPr>
        <w:tc>
          <w:tcPr>
            <w:tcW w:w="560" w:type="dxa"/>
            <w:vMerge w:val="restart"/>
            <w:tcBorders>
              <w:top w:val="nil"/>
              <w:left w:val="single" w:sz="4" w:space="0" w:color="auto"/>
              <w:bottom w:val="nil"/>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个</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别</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因</w:t>
            </w:r>
            <w:r w:rsidRPr="00A214B0">
              <w:rPr>
                <w:rFonts w:ascii="Times New Roman" w:hAnsi="Times New Roman" w:cs="Times New Roman"/>
                <w:color w:val="000000" w:themeColor="text1"/>
                <w:kern w:val="0"/>
                <w:sz w:val="18"/>
                <w:szCs w:val="18"/>
              </w:rPr>
              <w:br/>
            </w:r>
            <w:r w:rsidRPr="00A214B0">
              <w:rPr>
                <w:rFonts w:ascii="Times New Roman" w:hAnsi="Times New Roman" w:cs="Times New Roman"/>
                <w:color w:val="000000" w:themeColor="text1"/>
                <w:kern w:val="0"/>
                <w:sz w:val="18"/>
                <w:szCs w:val="18"/>
              </w:rPr>
              <w:t>素</w:t>
            </w: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宗地面积</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103</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103</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102</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宗地地形地基条件</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宗地形状</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宗地内外开发程度</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宗地容积率</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宗地使用限制</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土地剩余使用年限</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r>
      <w:tr w:rsidR="00D56508" w:rsidRPr="00A214B0">
        <w:trPr>
          <w:trHeight w:val="280"/>
        </w:trPr>
        <w:tc>
          <w:tcPr>
            <w:tcW w:w="560" w:type="dxa"/>
            <w:vMerge/>
            <w:tcBorders>
              <w:top w:val="nil"/>
              <w:left w:val="single" w:sz="4" w:space="0" w:color="auto"/>
              <w:bottom w:val="nil"/>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38" w:type="dxa"/>
            <w:tcBorders>
              <w:top w:val="single" w:sz="4" w:space="0" w:color="auto"/>
              <w:left w:val="nil"/>
              <w:bottom w:val="single" w:sz="4" w:space="0" w:color="auto"/>
              <w:right w:val="single" w:sz="4" w:space="0" w:color="000000"/>
            </w:tcBorders>
            <w:shd w:val="clear" w:color="auto" w:fill="auto"/>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其他因素</w:t>
            </w:r>
          </w:p>
        </w:tc>
        <w:tc>
          <w:tcPr>
            <w:tcW w:w="6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66"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64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41"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708"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90</w:t>
            </w:r>
          </w:p>
        </w:tc>
        <w:tc>
          <w:tcPr>
            <w:tcW w:w="642"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55"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44"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90</w:t>
            </w:r>
          </w:p>
        </w:tc>
        <w:tc>
          <w:tcPr>
            <w:tcW w:w="643"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100</w:t>
            </w:r>
          </w:p>
        </w:tc>
        <w:tc>
          <w:tcPr>
            <w:tcW w:w="380" w:type="dxa"/>
            <w:tcBorders>
              <w:top w:val="nil"/>
              <w:left w:val="nil"/>
              <w:bottom w:val="single" w:sz="4" w:space="0" w:color="auto"/>
              <w:right w:val="nil"/>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w:t>
            </w:r>
          </w:p>
        </w:tc>
        <w:tc>
          <w:tcPr>
            <w:tcW w:w="639"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90</w:t>
            </w:r>
          </w:p>
        </w:tc>
      </w:tr>
      <w:tr w:rsidR="00D56508" w:rsidRPr="00A214B0">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系数</w:t>
            </w:r>
          </w:p>
        </w:tc>
        <w:tc>
          <w:tcPr>
            <w:tcW w:w="1838"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65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1</w:t>
            </w:r>
          </w:p>
        </w:tc>
        <w:tc>
          <w:tcPr>
            <w:tcW w:w="1689"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1.0787 </w:t>
            </w:r>
          </w:p>
        </w:tc>
        <w:tc>
          <w:tcPr>
            <w:tcW w:w="1641"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1.0787 </w:t>
            </w:r>
          </w:p>
        </w:tc>
        <w:tc>
          <w:tcPr>
            <w:tcW w:w="1662" w:type="dxa"/>
            <w:gridSpan w:val="3"/>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1.0893 </w:t>
            </w:r>
          </w:p>
        </w:tc>
      </w:tr>
    </w:tbl>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注：上述个别因素修正中委估对象与可比案例有差异需进行修正，如：宗地面积，委估对象与三个可比案例相比均较大，根据面积大小差异分别修正</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。宗地</w:t>
      </w:r>
      <w:r w:rsidRPr="00A214B0">
        <w:rPr>
          <w:rFonts w:ascii="Times New Roman" w:hAnsi="Times New Roman" w:cs="Times New Roman" w:hint="eastAsia"/>
          <w:color w:val="000000" w:themeColor="text1"/>
          <w:sz w:val="24"/>
          <w:szCs w:val="24"/>
        </w:rPr>
        <w:t>临近长江水道等其他因素</w:t>
      </w:r>
      <w:r w:rsidRPr="00A214B0">
        <w:rPr>
          <w:rFonts w:ascii="Times New Roman" w:hAnsi="Times New Roman" w:cs="Times New Roman"/>
          <w:color w:val="000000" w:themeColor="text1"/>
          <w:sz w:val="24"/>
          <w:szCs w:val="24"/>
        </w:rPr>
        <w:t>，委估宗地与三个可比案例相比，</w:t>
      </w:r>
      <w:r w:rsidRPr="00A214B0">
        <w:rPr>
          <w:rFonts w:ascii="Times New Roman" w:hAnsi="Times New Roman" w:cs="Times New Roman" w:hint="eastAsia"/>
          <w:color w:val="000000" w:themeColor="text1"/>
          <w:sz w:val="24"/>
          <w:szCs w:val="24"/>
        </w:rPr>
        <w:t>三个可比案例</w:t>
      </w:r>
      <w:r w:rsidRPr="00A214B0">
        <w:rPr>
          <w:rFonts w:ascii="Times New Roman" w:hAnsi="Times New Roman" w:cs="Times New Roman"/>
          <w:color w:val="000000" w:themeColor="text1"/>
          <w:sz w:val="24"/>
          <w:szCs w:val="24"/>
        </w:rPr>
        <w:t>均修正</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10</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p>
    <w:p w:rsidR="00D56508" w:rsidRPr="00A214B0" w:rsidRDefault="00F1265B">
      <w:pPr>
        <w:pStyle w:val="Style565"/>
        <w:adjustRightInd w:val="0"/>
        <w:snapToGrid w:val="0"/>
        <w:spacing w:line="360" w:lineRule="auto"/>
        <w:ind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E. </w:t>
      </w:r>
      <w:r w:rsidRPr="00A214B0">
        <w:rPr>
          <w:rFonts w:ascii="Times New Roman" w:hAnsi="Times New Roman" w:cs="Times New Roman"/>
          <w:color w:val="000000" w:themeColor="text1"/>
          <w:sz w:val="24"/>
          <w:szCs w:val="24"/>
        </w:rPr>
        <w:t>修正结果</w:t>
      </w:r>
    </w:p>
    <w:p w:rsidR="00D56508" w:rsidRPr="00A214B0" w:rsidRDefault="00F1265B">
      <w:pPr>
        <w:autoSpaceDE w:val="0"/>
        <w:autoSpaceDN w:val="0"/>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根据上述交易日期、交易情况、区域因素、个别因素的修正系数计算出修正后的评估单价，具体如下表：</w:t>
      </w:r>
    </w:p>
    <w:tbl>
      <w:tblPr>
        <w:tblW w:w="8154" w:type="dxa"/>
        <w:tblLayout w:type="fixed"/>
        <w:tblCellMar>
          <w:left w:w="0" w:type="dxa"/>
          <w:right w:w="0" w:type="dxa"/>
        </w:tblCellMar>
        <w:tblLook w:val="04A0" w:firstRow="1" w:lastRow="0" w:firstColumn="1" w:lastColumn="0" w:noHBand="0" w:noVBand="1"/>
      </w:tblPr>
      <w:tblGrid>
        <w:gridCol w:w="517"/>
        <w:gridCol w:w="988"/>
        <w:gridCol w:w="530"/>
        <w:gridCol w:w="918"/>
        <w:gridCol w:w="1200"/>
        <w:gridCol w:w="1553"/>
        <w:gridCol w:w="1507"/>
        <w:gridCol w:w="941"/>
      </w:tblGrid>
      <w:tr w:rsidR="00D56508" w:rsidRPr="00A214B0">
        <w:trPr>
          <w:trHeight w:val="500"/>
          <w:tblHead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sz w:val="18"/>
                <w:szCs w:val="18"/>
              </w:rPr>
              <w:t>序号</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交易价格（元</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时间修正</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交易情况修正</w:t>
            </w:r>
          </w:p>
        </w:tc>
        <w:tc>
          <w:tcPr>
            <w:tcW w:w="1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区域因素修正</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个别因素修正</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比准价格</w:t>
            </w:r>
            <w:r w:rsidRPr="00A214B0">
              <w:rPr>
                <w:rFonts w:ascii="Times New Roman" w:hAnsi="Times New Roman" w:cs="Times New Roman"/>
                <w:color w:val="000000" w:themeColor="text1"/>
                <w:sz w:val="18"/>
                <w:szCs w:val="18"/>
              </w:rPr>
              <w:br/>
            </w:r>
            <w:r w:rsidRPr="00A214B0">
              <w:rPr>
                <w:rFonts w:ascii="Times New Roman" w:hAnsi="Times New Roman" w:cs="Times New Roman"/>
                <w:color w:val="000000" w:themeColor="text1"/>
                <w:sz w:val="18"/>
                <w:szCs w:val="18"/>
              </w:rPr>
              <w:t>（元</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评估单价（元</w:t>
            </w:r>
            <w:r w:rsidRPr="00A214B0">
              <w:rPr>
                <w:rFonts w:ascii="Times New Roman" w:hAnsi="Times New Roman" w:cs="Times New Roman"/>
                <w:color w:val="000000" w:themeColor="text1"/>
                <w:sz w:val="18"/>
                <w:szCs w:val="18"/>
              </w:rPr>
              <w:t>/</w:t>
            </w:r>
            <w:r w:rsidRPr="00A214B0">
              <w:rPr>
                <w:rFonts w:ascii="Times New Roman" w:hAnsi="Times New Roman" w:cs="Times New Roman"/>
                <w:color w:val="000000" w:themeColor="text1"/>
                <w:sz w:val="18"/>
                <w:szCs w:val="18"/>
              </w:rPr>
              <w:t>㎡）</w:t>
            </w:r>
          </w:p>
        </w:tc>
      </w:tr>
      <w:tr w:rsidR="00D56508" w:rsidRPr="00A214B0">
        <w:trPr>
          <w:trHeight w:val="500"/>
          <w:tblHeader/>
        </w:trPr>
        <w:tc>
          <w:tcPr>
            <w:tcW w:w="517"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c>
          <w:tcPr>
            <w:tcW w:w="1200" w:type="dxa"/>
            <w:vMerge/>
            <w:tcBorders>
              <w:top w:val="single" w:sz="4" w:space="0" w:color="auto"/>
              <w:left w:val="single" w:sz="4" w:space="0" w:color="auto"/>
              <w:bottom w:val="single" w:sz="4" w:space="0" w:color="000000"/>
              <w:right w:val="single" w:sz="4" w:space="0" w:color="000000"/>
            </w:tcBorders>
            <w:vAlign w:val="center"/>
          </w:tcPr>
          <w:p w:rsidR="00D56508" w:rsidRPr="00A214B0" w:rsidRDefault="00D56508">
            <w:pPr>
              <w:rPr>
                <w:rFonts w:ascii="Times New Roman" w:hAnsi="Times New Roman" w:cs="Times New Roman"/>
                <w:color w:val="000000" w:themeColor="text1"/>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D56508" w:rsidRPr="00A214B0" w:rsidRDefault="00D56508">
            <w:pPr>
              <w:rPr>
                <w:rFonts w:ascii="Times New Roman" w:hAnsi="Times New Roman" w:cs="Times New Roman"/>
                <w:color w:val="000000" w:themeColor="text1"/>
                <w:sz w:val="18"/>
                <w:szCs w:val="18"/>
              </w:rPr>
            </w:pPr>
          </w:p>
        </w:tc>
      </w:tr>
      <w:tr w:rsidR="00D56508" w:rsidRPr="00A214B0">
        <w:trPr>
          <w:trHeight w:val="280"/>
        </w:trPr>
        <w:tc>
          <w:tcPr>
            <w:tcW w:w="517"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A</w:t>
            </w:r>
          </w:p>
        </w:tc>
        <w:tc>
          <w:tcPr>
            <w:tcW w:w="988"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439.13 </w:t>
            </w:r>
          </w:p>
        </w:tc>
        <w:tc>
          <w:tcPr>
            <w:tcW w:w="530"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91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1200"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155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1.0787 </w:t>
            </w:r>
          </w:p>
        </w:tc>
        <w:tc>
          <w:tcPr>
            <w:tcW w:w="1507" w:type="dxa"/>
            <w:tcBorders>
              <w:top w:val="single" w:sz="4" w:space="0" w:color="auto"/>
              <w:left w:val="nil"/>
              <w:bottom w:val="nil"/>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473.69 </w:t>
            </w:r>
          </w:p>
        </w:tc>
        <w:tc>
          <w:tcPr>
            <w:tcW w:w="94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470.60 </w:t>
            </w:r>
          </w:p>
        </w:tc>
      </w:tr>
      <w:tr w:rsidR="00D56508" w:rsidRPr="00A214B0">
        <w:trPr>
          <w:trHeight w:val="280"/>
        </w:trPr>
        <w:tc>
          <w:tcPr>
            <w:tcW w:w="517"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B</w:t>
            </w:r>
          </w:p>
        </w:tc>
        <w:tc>
          <w:tcPr>
            <w:tcW w:w="988"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434.86 </w:t>
            </w:r>
          </w:p>
        </w:tc>
        <w:tc>
          <w:tcPr>
            <w:tcW w:w="530"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91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1200"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155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1.0787 </w:t>
            </w:r>
          </w:p>
        </w:tc>
        <w:tc>
          <w:tcPr>
            <w:tcW w:w="1507" w:type="dxa"/>
            <w:tcBorders>
              <w:top w:val="single" w:sz="4" w:space="0" w:color="auto"/>
              <w:left w:val="nil"/>
              <w:bottom w:val="nil"/>
              <w:right w:val="single" w:sz="4" w:space="0" w:color="000000"/>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469.09 </w:t>
            </w:r>
          </w:p>
        </w:tc>
        <w:tc>
          <w:tcPr>
            <w:tcW w:w="941" w:type="dxa"/>
            <w:vMerge/>
            <w:tcBorders>
              <w:top w:val="single" w:sz="4" w:space="0" w:color="auto"/>
              <w:left w:val="single" w:sz="4" w:space="0" w:color="auto"/>
              <w:bottom w:val="single" w:sz="4" w:space="0" w:color="000000"/>
              <w:right w:val="single" w:sz="4" w:space="0" w:color="000000"/>
            </w:tcBorders>
            <w:vAlign w:val="center"/>
          </w:tcPr>
          <w:p w:rsidR="00D56508" w:rsidRPr="00A214B0" w:rsidRDefault="00D56508">
            <w:pPr>
              <w:jc w:val="center"/>
              <w:rPr>
                <w:rFonts w:ascii="Times New Roman" w:hAnsi="Times New Roman" w:cs="Times New Roman"/>
                <w:color w:val="000000" w:themeColor="text1"/>
                <w:sz w:val="18"/>
                <w:szCs w:val="18"/>
              </w:rPr>
            </w:pPr>
          </w:p>
        </w:tc>
      </w:tr>
      <w:tr w:rsidR="00D56508" w:rsidRPr="00A214B0">
        <w:trPr>
          <w:trHeight w:val="280"/>
        </w:trPr>
        <w:tc>
          <w:tcPr>
            <w:tcW w:w="517"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C</w:t>
            </w:r>
          </w:p>
        </w:tc>
        <w:tc>
          <w:tcPr>
            <w:tcW w:w="988"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430.58 </w:t>
            </w:r>
          </w:p>
        </w:tc>
        <w:tc>
          <w:tcPr>
            <w:tcW w:w="530" w:type="dxa"/>
            <w:tcBorders>
              <w:top w:val="nil"/>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918"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1200" w:type="dxa"/>
            <w:tcBorders>
              <w:top w:val="single" w:sz="4" w:space="0" w:color="auto"/>
              <w:left w:val="nil"/>
              <w:bottom w:val="single" w:sz="4" w:space="0" w:color="auto"/>
              <w:right w:val="single" w:sz="4" w:space="0" w:color="000000"/>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 xml:space="preserve">1.0000 </w:t>
            </w:r>
          </w:p>
        </w:tc>
        <w:tc>
          <w:tcPr>
            <w:tcW w:w="1553"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1.0893 </w:t>
            </w:r>
          </w:p>
        </w:tc>
        <w:tc>
          <w:tcPr>
            <w:tcW w:w="1507"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 xml:space="preserve">469.03 </w:t>
            </w:r>
          </w:p>
        </w:tc>
        <w:tc>
          <w:tcPr>
            <w:tcW w:w="941" w:type="dxa"/>
            <w:vMerge/>
            <w:tcBorders>
              <w:top w:val="single" w:sz="4" w:space="0" w:color="auto"/>
              <w:left w:val="single" w:sz="4" w:space="0" w:color="auto"/>
              <w:bottom w:val="single" w:sz="4" w:space="0" w:color="000000"/>
              <w:right w:val="single" w:sz="4" w:space="0" w:color="000000"/>
            </w:tcBorders>
            <w:vAlign w:val="center"/>
          </w:tcPr>
          <w:p w:rsidR="00D56508" w:rsidRPr="00A214B0" w:rsidRDefault="00D56508">
            <w:pPr>
              <w:jc w:val="center"/>
              <w:rPr>
                <w:rFonts w:ascii="Times New Roman" w:hAnsi="Times New Roman" w:cs="Times New Roman"/>
                <w:color w:val="000000" w:themeColor="text1"/>
                <w:sz w:val="18"/>
                <w:szCs w:val="18"/>
              </w:rPr>
            </w:pPr>
          </w:p>
        </w:tc>
      </w:tr>
    </w:tbl>
    <w:p w:rsidR="00D56508" w:rsidRPr="00A214B0" w:rsidRDefault="00F1265B">
      <w:pPr>
        <w:autoSpaceDE w:val="0"/>
        <w:autoSpaceDN w:val="0"/>
        <w:adjustRightInd w:val="0"/>
        <w:snapToGrid w:val="0"/>
        <w:spacing w:beforeLines="50" w:before="250"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F.</w:t>
      </w:r>
      <w:r w:rsidRPr="00A214B0">
        <w:rPr>
          <w:rFonts w:ascii="Times New Roman" w:hAnsi="Times New Roman" w:cs="Times New Roman"/>
          <w:bCs/>
          <w:color w:val="000000" w:themeColor="text1"/>
          <w:sz w:val="24"/>
          <w:szCs w:val="24"/>
        </w:rPr>
        <w:tab/>
        <w:t xml:space="preserve"> </w:t>
      </w:r>
      <w:r w:rsidRPr="00A214B0">
        <w:rPr>
          <w:rFonts w:ascii="Times New Roman" w:hAnsi="Times New Roman" w:cs="Times New Roman"/>
          <w:bCs/>
          <w:color w:val="000000" w:themeColor="text1"/>
          <w:sz w:val="24"/>
          <w:szCs w:val="24"/>
        </w:rPr>
        <w:t>土地年期修正</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以上计算的是出让年限为</w:t>
      </w:r>
      <w:r w:rsidRPr="00A214B0">
        <w:rPr>
          <w:rFonts w:ascii="Times New Roman" w:hAnsi="Times New Roman" w:cs="Times New Roman"/>
          <w:bCs/>
          <w:color w:val="000000" w:themeColor="text1"/>
          <w:sz w:val="24"/>
          <w:szCs w:val="24"/>
        </w:rPr>
        <w:t>50</w:t>
      </w:r>
      <w:r w:rsidRPr="00A214B0">
        <w:rPr>
          <w:rFonts w:ascii="Times New Roman" w:hAnsi="Times New Roman" w:cs="Times New Roman"/>
          <w:bCs/>
          <w:color w:val="000000" w:themeColor="text1"/>
          <w:sz w:val="24"/>
          <w:szCs w:val="24"/>
        </w:rPr>
        <w:t>年期的土地价值，待估宗地剩余使用年限</w:t>
      </w:r>
      <w:r w:rsidRPr="00A214B0">
        <w:rPr>
          <w:rFonts w:ascii="Times New Roman" w:hAnsi="Times New Roman" w:cs="Times New Roman"/>
          <w:bCs/>
          <w:color w:val="000000" w:themeColor="text1"/>
          <w:sz w:val="24"/>
          <w:szCs w:val="24"/>
        </w:rPr>
        <w:t>36.78</w:t>
      </w:r>
      <w:r w:rsidRPr="00A214B0">
        <w:rPr>
          <w:rFonts w:ascii="Times New Roman" w:hAnsi="Times New Roman" w:cs="Times New Roman"/>
          <w:bCs/>
          <w:color w:val="000000" w:themeColor="text1"/>
          <w:sz w:val="24"/>
          <w:szCs w:val="24"/>
        </w:rPr>
        <w:t>年，还需进行年期修正。</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年期修正系数</w:t>
      </w:r>
      <w:r w:rsidRPr="00A214B0">
        <w:rPr>
          <w:rFonts w:ascii="Times New Roman" w:hAnsi="Times New Roman" w:cs="Times New Roman"/>
          <w:bCs/>
          <w:color w:val="000000" w:themeColor="text1"/>
          <w:sz w:val="24"/>
          <w:szCs w:val="24"/>
        </w:rPr>
        <w:t>K</w:t>
      </w:r>
      <w:r w:rsidRPr="00A214B0">
        <w:rPr>
          <w:rFonts w:ascii="Times New Roman" w:hAnsi="Times New Roman" w:cs="Times New Roman"/>
          <w:bCs/>
          <w:color w:val="000000" w:themeColor="text1"/>
          <w:sz w:val="24"/>
          <w:szCs w:val="24"/>
        </w:rPr>
        <w:t>的公式为：</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K</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r</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ｎ</w:t>
      </w:r>
      <w:r w:rsidRPr="00A214B0">
        <w:rPr>
          <w:rFonts w:ascii="Times New Roman" w:hAnsi="Times New Roman" w:cs="Times New Roman"/>
          <w:bCs/>
          <w:color w:val="000000" w:themeColor="text1"/>
          <w:sz w:val="24"/>
          <w:szCs w:val="24"/>
        </w:rPr>
        <w:t>)/ (1</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r</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 xml:space="preserve">^m) </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K……</w:t>
      </w:r>
      <w:r w:rsidRPr="00A214B0">
        <w:rPr>
          <w:rFonts w:ascii="Times New Roman" w:hAnsi="Times New Roman" w:cs="Times New Roman"/>
          <w:bCs/>
          <w:color w:val="000000" w:themeColor="text1"/>
          <w:sz w:val="24"/>
          <w:szCs w:val="24"/>
        </w:rPr>
        <w:t>年期修正系数</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r……</w:t>
      </w:r>
      <w:r w:rsidRPr="00A214B0">
        <w:rPr>
          <w:rFonts w:ascii="Times New Roman" w:hAnsi="Times New Roman" w:cs="Times New Roman"/>
          <w:bCs/>
          <w:color w:val="000000" w:themeColor="text1"/>
          <w:sz w:val="24"/>
          <w:szCs w:val="24"/>
        </w:rPr>
        <w:t>土地还原利率</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n……</w:t>
      </w:r>
      <w:r w:rsidRPr="00A214B0">
        <w:rPr>
          <w:rFonts w:ascii="Times New Roman" w:hAnsi="Times New Roman" w:cs="Times New Roman"/>
          <w:bCs/>
          <w:color w:val="000000" w:themeColor="text1"/>
          <w:sz w:val="24"/>
          <w:szCs w:val="24"/>
        </w:rPr>
        <w:t>土地剩余使用年限</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m……</w:t>
      </w:r>
      <w:r w:rsidRPr="00A214B0">
        <w:rPr>
          <w:rFonts w:ascii="Times New Roman" w:hAnsi="Times New Roman" w:cs="Times New Roman"/>
          <w:bCs/>
          <w:color w:val="000000" w:themeColor="text1"/>
          <w:sz w:val="24"/>
          <w:szCs w:val="24"/>
        </w:rPr>
        <w:t>市场交易价格设定的土地使用年限</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根据基准日同期银行</w:t>
      </w:r>
      <w:r w:rsidRPr="00A214B0">
        <w:rPr>
          <w:rFonts w:ascii="Times New Roman" w:hAnsi="Times New Roman" w:cs="Times New Roman"/>
          <w:bCs/>
          <w:color w:val="000000" w:themeColor="text1"/>
          <w:sz w:val="24"/>
          <w:szCs w:val="24"/>
        </w:rPr>
        <w:t>1-3</w:t>
      </w:r>
      <w:r w:rsidRPr="00A214B0">
        <w:rPr>
          <w:rFonts w:ascii="Times New Roman" w:hAnsi="Times New Roman" w:cs="Times New Roman"/>
          <w:bCs/>
          <w:color w:val="000000" w:themeColor="text1"/>
          <w:sz w:val="24"/>
          <w:szCs w:val="24"/>
        </w:rPr>
        <w:t>年期贷款利率以及土地投资风险的分析，综合确定本次评估土地还原利率为</w:t>
      </w:r>
      <w:r w:rsidRPr="00A214B0">
        <w:rPr>
          <w:rFonts w:ascii="Times New Roman" w:hAnsi="Times New Roman" w:cs="Times New Roman"/>
          <w:bCs/>
          <w:color w:val="000000" w:themeColor="text1"/>
          <w:sz w:val="24"/>
          <w:szCs w:val="24"/>
        </w:rPr>
        <w:t>6%</w:t>
      </w:r>
      <w:r w:rsidRPr="00A214B0">
        <w:rPr>
          <w:rFonts w:ascii="Times New Roman" w:hAnsi="Times New Roman" w:cs="Times New Roman"/>
          <w:bCs/>
          <w:color w:val="000000" w:themeColor="text1"/>
          <w:sz w:val="24"/>
          <w:szCs w:val="24"/>
        </w:rPr>
        <w:t>。评估设定使用年期为剩余使用年期</w:t>
      </w:r>
      <w:r w:rsidRPr="00A214B0">
        <w:rPr>
          <w:rFonts w:ascii="Times New Roman" w:hAnsi="Times New Roman" w:cs="Times New Roman"/>
          <w:bCs/>
          <w:color w:val="000000" w:themeColor="text1"/>
          <w:sz w:val="24"/>
          <w:szCs w:val="24"/>
        </w:rPr>
        <w:t>36.78</w:t>
      </w:r>
      <w:r w:rsidRPr="00A214B0">
        <w:rPr>
          <w:rFonts w:ascii="Times New Roman" w:hAnsi="Times New Roman" w:cs="Times New Roman"/>
          <w:bCs/>
          <w:color w:val="000000" w:themeColor="text1"/>
          <w:sz w:val="24"/>
          <w:szCs w:val="24"/>
        </w:rPr>
        <w:t>年。</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则：</w:t>
      </w:r>
      <w:r w:rsidRPr="00A214B0">
        <w:rPr>
          <w:rFonts w:ascii="Times New Roman" w:hAnsi="Times New Roman" w:cs="Times New Roman"/>
          <w:bCs/>
          <w:color w:val="000000" w:themeColor="text1"/>
          <w:sz w:val="24"/>
          <w:szCs w:val="24"/>
        </w:rPr>
        <w:t>K=</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1-1/(1+6%</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^36.78</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1-1/(1+6%)^50</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=0.9334</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K……</w:t>
      </w:r>
      <w:r w:rsidRPr="00A214B0">
        <w:rPr>
          <w:rFonts w:ascii="Times New Roman" w:hAnsi="Times New Roman" w:cs="Times New Roman"/>
          <w:bCs/>
          <w:color w:val="000000" w:themeColor="text1"/>
          <w:sz w:val="24"/>
          <w:szCs w:val="24"/>
        </w:rPr>
        <w:t>年期修正系数</w:t>
      </w:r>
    </w:p>
    <w:p w:rsidR="00D56508" w:rsidRPr="00A214B0" w:rsidRDefault="00F1265B">
      <w:pPr>
        <w:autoSpaceDE w:val="0"/>
        <w:autoSpaceDN w:val="0"/>
        <w:adjustRightInd w:val="0"/>
        <w:snapToGrid w:val="0"/>
        <w:spacing w:line="360" w:lineRule="auto"/>
        <w:ind w:firstLineChars="300" w:firstLine="72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r……</w:t>
      </w:r>
      <w:r w:rsidRPr="00A214B0">
        <w:rPr>
          <w:rFonts w:ascii="Times New Roman" w:hAnsi="Times New Roman" w:cs="Times New Roman"/>
          <w:bCs/>
          <w:color w:val="000000" w:themeColor="text1"/>
          <w:sz w:val="24"/>
          <w:szCs w:val="24"/>
        </w:rPr>
        <w:t>土地还原利率（</w:t>
      </w:r>
      <w:r w:rsidRPr="00A214B0">
        <w:rPr>
          <w:rFonts w:ascii="Times New Roman" w:hAnsi="Times New Roman" w:cs="Times New Roman"/>
          <w:bCs/>
          <w:color w:val="000000" w:themeColor="text1"/>
          <w:sz w:val="24"/>
          <w:szCs w:val="24"/>
        </w:rPr>
        <w:t xml:space="preserve"> 6% </w:t>
      </w:r>
      <w:r w:rsidRPr="00A214B0">
        <w:rPr>
          <w:rFonts w:ascii="Times New Roman" w:hAnsi="Times New Roman" w:cs="Times New Roman"/>
          <w:bCs/>
          <w:color w:val="000000" w:themeColor="text1"/>
          <w:sz w:val="24"/>
          <w:szCs w:val="24"/>
        </w:rPr>
        <w:t>）</w:t>
      </w:r>
    </w:p>
    <w:p w:rsidR="00D56508" w:rsidRPr="00A214B0" w:rsidRDefault="00F1265B">
      <w:pPr>
        <w:autoSpaceDE w:val="0"/>
        <w:autoSpaceDN w:val="0"/>
        <w:adjustRightInd w:val="0"/>
        <w:snapToGrid w:val="0"/>
        <w:spacing w:line="360" w:lineRule="auto"/>
        <w:ind w:firstLineChars="300" w:firstLine="72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n……</w:t>
      </w:r>
      <w:r w:rsidRPr="00A214B0">
        <w:rPr>
          <w:rFonts w:ascii="Times New Roman" w:hAnsi="Times New Roman" w:cs="Times New Roman"/>
          <w:bCs/>
          <w:color w:val="000000" w:themeColor="text1"/>
          <w:sz w:val="24"/>
          <w:szCs w:val="24"/>
        </w:rPr>
        <w:t>土地使用年限（</w:t>
      </w:r>
      <w:r w:rsidRPr="00A214B0">
        <w:rPr>
          <w:rFonts w:ascii="Times New Roman" w:hAnsi="Times New Roman" w:cs="Times New Roman"/>
          <w:bCs/>
          <w:color w:val="000000" w:themeColor="text1"/>
          <w:sz w:val="24"/>
          <w:szCs w:val="24"/>
        </w:rPr>
        <w:t>36.78</w:t>
      </w:r>
      <w:r w:rsidRPr="00A214B0">
        <w:rPr>
          <w:rFonts w:ascii="Times New Roman" w:hAnsi="Times New Roman" w:cs="Times New Roman"/>
          <w:bCs/>
          <w:color w:val="000000" w:themeColor="text1"/>
          <w:sz w:val="24"/>
          <w:szCs w:val="24"/>
        </w:rPr>
        <w:t>年）</w:t>
      </w:r>
    </w:p>
    <w:p w:rsidR="00D56508" w:rsidRPr="00A214B0" w:rsidRDefault="00F1265B">
      <w:pPr>
        <w:autoSpaceDE w:val="0"/>
        <w:autoSpaceDN w:val="0"/>
        <w:adjustRightInd w:val="0"/>
        <w:snapToGrid w:val="0"/>
        <w:spacing w:line="360" w:lineRule="auto"/>
        <w:ind w:firstLineChars="300" w:firstLine="72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 m……</w:t>
      </w:r>
      <w:r w:rsidRPr="00A214B0">
        <w:rPr>
          <w:rFonts w:ascii="Times New Roman" w:hAnsi="Times New Roman" w:cs="Times New Roman"/>
          <w:bCs/>
          <w:color w:val="000000" w:themeColor="text1"/>
          <w:sz w:val="24"/>
          <w:szCs w:val="24"/>
        </w:rPr>
        <w:t>土地出让年限（</w:t>
      </w:r>
      <w:r w:rsidRPr="00A214B0">
        <w:rPr>
          <w:rFonts w:ascii="Times New Roman" w:hAnsi="Times New Roman" w:cs="Times New Roman"/>
          <w:bCs/>
          <w:color w:val="000000" w:themeColor="text1"/>
          <w:sz w:val="24"/>
          <w:szCs w:val="24"/>
        </w:rPr>
        <w:t>50</w:t>
      </w:r>
      <w:r w:rsidRPr="00A214B0">
        <w:rPr>
          <w:rFonts w:ascii="Times New Roman" w:hAnsi="Times New Roman" w:cs="Times New Roman"/>
          <w:bCs/>
          <w:color w:val="000000" w:themeColor="text1"/>
          <w:sz w:val="24"/>
          <w:szCs w:val="24"/>
        </w:rPr>
        <w:t>年）</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则修正后评估单价为</w:t>
      </w:r>
      <w:r w:rsidRPr="00A214B0">
        <w:rPr>
          <w:rFonts w:ascii="Times New Roman" w:hAnsi="Times New Roman" w:cs="Times New Roman" w:hint="eastAsia"/>
          <w:bCs/>
          <w:color w:val="000000" w:themeColor="text1"/>
          <w:sz w:val="24"/>
          <w:szCs w:val="24"/>
        </w:rPr>
        <w:t>470.60</w:t>
      </w:r>
      <w:r w:rsidRPr="00A214B0">
        <w:rPr>
          <w:rFonts w:ascii="Times New Roman" w:hAnsi="Times New Roman" w:cs="Times New Roman"/>
          <w:bCs/>
          <w:color w:val="000000" w:themeColor="text1"/>
          <w:sz w:val="18"/>
          <w:szCs w:val="18"/>
        </w:rPr>
        <w:t>×</w:t>
      </w:r>
      <w:r w:rsidRPr="00A214B0">
        <w:rPr>
          <w:rFonts w:ascii="Times New Roman" w:hAnsi="Times New Roman" w:cs="Times New Roman"/>
          <w:bCs/>
          <w:color w:val="000000" w:themeColor="text1"/>
          <w:sz w:val="24"/>
          <w:szCs w:val="24"/>
        </w:rPr>
        <w:t>0.9334=439.26</w:t>
      </w:r>
      <w:r w:rsidRPr="00A214B0">
        <w:rPr>
          <w:rFonts w:ascii="Times New Roman" w:hAnsi="Times New Roman" w:cs="Times New Roman"/>
          <w:bCs/>
          <w:color w:val="000000" w:themeColor="text1"/>
          <w:sz w:val="24"/>
          <w:szCs w:val="24"/>
        </w:rPr>
        <w:t>元</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 xml:space="preserve"> </w:t>
      </w:r>
    </w:p>
    <w:p w:rsidR="00D56508" w:rsidRPr="00A214B0" w:rsidRDefault="00F1265B">
      <w:pPr>
        <w:autoSpaceDE w:val="0"/>
        <w:autoSpaceDN w:val="0"/>
        <w:adjustRightInd w:val="0"/>
        <w:snapToGrid w:val="0"/>
        <w:spacing w:line="360" w:lineRule="auto"/>
        <w:ind w:firstLineChars="200" w:firstLine="480"/>
        <w:jc w:val="left"/>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 xml:space="preserve">G. </w:t>
      </w:r>
      <w:r w:rsidRPr="00A214B0">
        <w:rPr>
          <w:rFonts w:ascii="Times New Roman" w:hAnsi="Times New Roman" w:cs="Times New Roman"/>
          <w:bCs/>
          <w:color w:val="000000" w:themeColor="text1"/>
          <w:sz w:val="24"/>
          <w:szCs w:val="24"/>
        </w:rPr>
        <w:t>最终评估结果</w:t>
      </w:r>
    </w:p>
    <w:p w:rsidR="00D56508" w:rsidRPr="00A214B0" w:rsidRDefault="00F1265B">
      <w:pPr>
        <w:adjustRightInd w:val="0"/>
        <w:snapToGrid w:val="0"/>
        <w:spacing w:line="360" w:lineRule="auto"/>
        <w:ind w:firstLineChars="200" w:firstLine="480"/>
        <w:rPr>
          <w:rFonts w:ascii="Times New Roman" w:hAnsi="Times New Roman" w:cs="Times New Roman"/>
          <w:bCs/>
          <w:color w:val="000000" w:themeColor="text1"/>
          <w:sz w:val="24"/>
          <w:szCs w:val="24"/>
        </w:rPr>
      </w:pPr>
      <w:r w:rsidRPr="00A214B0">
        <w:rPr>
          <w:rFonts w:ascii="Times New Roman" w:hAnsi="Times New Roman" w:cs="Times New Roman"/>
          <w:bCs/>
          <w:color w:val="000000" w:themeColor="text1"/>
          <w:sz w:val="24"/>
          <w:szCs w:val="24"/>
        </w:rPr>
        <w:t>在计算土地使用权的评估值我们考虑契税对评估值的影响，故取用基准日时泰州市契税税率为</w:t>
      </w:r>
      <w:r w:rsidRPr="00A214B0">
        <w:rPr>
          <w:rFonts w:ascii="Times New Roman" w:hAnsi="Times New Roman" w:cs="Times New Roman"/>
          <w:bCs/>
          <w:color w:val="000000" w:themeColor="text1"/>
          <w:sz w:val="24"/>
          <w:szCs w:val="24"/>
        </w:rPr>
        <w:t>3%</w:t>
      </w:r>
      <w:r w:rsidRPr="00A214B0">
        <w:rPr>
          <w:rFonts w:ascii="Times New Roman" w:hAnsi="Times New Roman" w:cs="Times New Roman"/>
          <w:bCs/>
          <w:color w:val="000000" w:themeColor="text1"/>
          <w:sz w:val="24"/>
          <w:szCs w:val="24"/>
        </w:rPr>
        <w:t>，故待估宗地评估值</w:t>
      </w:r>
      <w:r w:rsidRPr="00A214B0">
        <w:rPr>
          <w:rFonts w:ascii="Times New Roman" w:hAnsi="Times New Roman" w:cs="Times New Roman"/>
          <w:bCs/>
          <w:color w:val="000000" w:themeColor="text1"/>
          <w:sz w:val="24"/>
          <w:szCs w:val="24"/>
        </w:rPr>
        <w:t>=439.26×96,759.00×</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1+3%</w:t>
      </w:r>
      <w:r w:rsidRPr="00A214B0">
        <w:rPr>
          <w:rFonts w:ascii="Times New Roman" w:hAnsi="Times New Roman" w:cs="Times New Roman"/>
          <w:bCs/>
          <w:color w:val="000000" w:themeColor="text1"/>
          <w:sz w:val="24"/>
          <w:szCs w:val="24"/>
        </w:rPr>
        <w:t>）</w:t>
      </w:r>
      <w:r w:rsidRPr="00A214B0">
        <w:rPr>
          <w:rFonts w:ascii="Times New Roman" w:hAnsi="Times New Roman" w:cs="Times New Roman"/>
          <w:bCs/>
          <w:color w:val="000000" w:themeColor="text1"/>
          <w:sz w:val="24"/>
          <w:szCs w:val="24"/>
        </w:rPr>
        <w:t>= 43,777,429.00</w:t>
      </w:r>
      <w:r w:rsidRPr="00A214B0">
        <w:rPr>
          <w:rFonts w:ascii="Times New Roman" w:hAnsi="Times New Roman" w:cs="Times New Roman"/>
          <w:bCs/>
          <w:color w:val="000000" w:themeColor="text1"/>
          <w:sz w:val="24"/>
          <w:szCs w:val="24"/>
        </w:rPr>
        <w:t>元</w:t>
      </w:r>
    </w:p>
    <w:p w:rsidR="00D56508" w:rsidRPr="00A214B0" w:rsidRDefault="00F1265B">
      <w:pPr>
        <w:pStyle w:val="20"/>
        <w:numPr>
          <w:ilvl w:val="255"/>
          <w:numId w:val="0"/>
        </w:numPr>
        <w:ind w:firstLineChars="200" w:firstLine="480"/>
        <w:rPr>
          <w:rFonts w:ascii="Times New Roman" w:hAnsi="Times New Roman"/>
          <w:color w:val="000000" w:themeColor="text1"/>
        </w:rPr>
      </w:pPr>
      <w:r w:rsidRPr="00A214B0">
        <w:rPr>
          <w:rFonts w:ascii="Times New Roman" w:hAnsi="Times New Roman"/>
          <w:color w:val="000000" w:themeColor="text1"/>
        </w:rPr>
        <w:t>（六）无形资产</w:t>
      </w:r>
      <w:r w:rsidRPr="00A214B0">
        <w:rPr>
          <w:rFonts w:ascii="Times New Roman" w:hAnsi="Times New Roman"/>
          <w:color w:val="000000" w:themeColor="text1"/>
        </w:rPr>
        <w:t>-</w:t>
      </w:r>
      <w:r w:rsidRPr="00A214B0">
        <w:rPr>
          <w:rFonts w:ascii="Times New Roman" w:hAnsi="Times New Roman"/>
          <w:color w:val="000000" w:themeColor="text1"/>
        </w:rPr>
        <w:t>其他无形资产评估说明</w:t>
      </w:r>
      <w:bookmarkEnd w:id="77"/>
    </w:p>
    <w:p w:rsidR="00D56508" w:rsidRPr="00A214B0" w:rsidRDefault="00F1265B">
      <w:pPr>
        <w:pStyle w:val="a1"/>
        <w:adjustRightInd w:val="0"/>
        <w:snapToGrid w:val="0"/>
        <w:spacing w:line="360" w:lineRule="auto"/>
        <w:ind w:firstLineChars="200" w:firstLine="480"/>
        <w:outlineLvl w:val="2"/>
        <w:rPr>
          <w:color w:val="000000" w:themeColor="text1"/>
          <w:lang w:val="en-US"/>
        </w:rPr>
      </w:pPr>
      <w:bookmarkStart w:id="78" w:name="_Toc3925"/>
      <w:r w:rsidRPr="00A214B0">
        <w:rPr>
          <w:color w:val="000000" w:themeColor="text1"/>
          <w:lang w:val="en-US"/>
        </w:rPr>
        <w:t xml:space="preserve">1. </w:t>
      </w:r>
      <w:r w:rsidRPr="00A214B0">
        <w:rPr>
          <w:color w:val="000000" w:themeColor="text1"/>
          <w:lang w:val="en-US"/>
        </w:rPr>
        <w:t>评估范围</w:t>
      </w:r>
      <w:bookmarkEnd w:id="78"/>
    </w:p>
    <w:p w:rsidR="00D56508" w:rsidRPr="00A214B0" w:rsidRDefault="00F1265B">
      <w:pPr>
        <w:pStyle w:val="a1"/>
        <w:adjustRightInd w:val="0"/>
        <w:snapToGrid w:val="0"/>
        <w:spacing w:line="360" w:lineRule="auto"/>
        <w:ind w:firstLineChars="200" w:firstLine="480"/>
        <w:rPr>
          <w:color w:val="000000" w:themeColor="text1"/>
          <w:lang w:val="en-US"/>
        </w:rPr>
      </w:pPr>
      <w:r w:rsidRPr="00A214B0">
        <w:rPr>
          <w:color w:val="000000" w:themeColor="text1"/>
          <w:lang w:val="en-US"/>
        </w:rPr>
        <w:t>委估其他无形资产为外购的微软操作系统、自主研发的</w:t>
      </w:r>
      <w:r w:rsidRPr="00A214B0">
        <w:rPr>
          <w:color w:val="000000" w:themeColor="text1"/>
          <w:lang w:val="en-US"/>
        </w:rPr>
        <w:t>19</w:t>
      </w:r>
      <w:r w:rsidRPr="00A214B0">
        <w:rPr>
          <w:color w:val="000000" w:themeColor="text1"/>
          <w:lang w:val="en-US"/>
        </w:rPr>
        <w:t>项实用新型专利、</w:t>
      </w:r>
      <w:r w:rsidRPr="00A214B0">
        <w:rPr>
          <w:color w:val="000000" w:themeColor="text1"/>
          <w:lang w:val="en-US"/>
        </w:rPr>
        <w:t>5</w:t>
      </w:r>
      <w:r w:rsidRPr="00A214B0">
        <w:rPr>
          <w:color w:val="000000" w:themeColor="text1"/>
          <w:lang w:val="en-US"/>
        </w:rPr>
        <w:t>项发明专利、</w:t>
      </w:r>
      <w:r w:rsidRPr="00A214B0">
        <w:rPr>
          <w:color w:val="000000" w:themeColor="text1"/>
          <w:lang w:val="en-US"/>
        </w:rPr>
        <w:t>2</w:t>
      </w:r>
      <w:r w:rsidRPr="00A214B0">
        <w:rPr>
          <w:color w:val="000000" w:themeColor="text1"/>
          <w:lang w:val="en-US"/>
        </w:rPr>
        <w:t>项软件著作权及</w:t>
      </w:r>
      <w:r w:rsidRPr="00A214B0">
        <w:rPr>
          <w:color w:val="000000" w:themeColor="text1"/>
          <w:lang w:val="en-US"/>
        </w:rPr>
        <w:t>10</w:t>
      </w:r>
      <w:r w:rsidRPr="00A214B0">
        <w:rPr>
          <w:color w:val="000000" w:themeColor="text1"/>
          <w:lang w:val="en-US"/>
        </w:rPr>
        <w:t>项商标，其中外购的微软操作系统于</w:t>
      </w:r>
      <w:r w:rsidRPr="00A214B0">
        <w:rPr>
          <w:color w:val="000000" w:themeColor="text1"/>
          <w:lang w:val="en-US"/>
        </w:rPr>
        <w:t>2018</w:t>
      </w:r>
      <w:r w:rsidRPr="00A214B0">
        <w:rPr>
          <w:color w:val="000000" w:themeColor="text1"/>
          <w:lang w:val="en-US"/>
        </w:rPr>
        <w:t>年</w:t>
      </w:r>
      <w:r w:rsidRPr="00A214B0">
        <w:rPr>
          <w:color w:val="000000" w:themeColor="text1"/>
          <w:lang w:val="en-US"/>
        </w:rPr>
        <w:t>8</w:t>
      </w:r>
      <w:r w:rsidRPr="00A214B0">
        <w:rPr>
          <w:color w:val="000000" w:themeColor="text1"/>
          <w:lang w:val="en-US"/>
        </w:rPr>
        <w:t>月取得，软件原始入账价值</w:t>
      </w:r>
      <w:r w:rsidRPr="00A214B0">
        <w:rPr>
          <w:color w:val="000000" w:themeColor="text1"/>
          <w:lang w:val="en-US"/>
        </w:rPr>
        <w:t xml:space="preserve">14,568.97 </w:t>
      </w:r>
      <w:r w:rsidRPr="00A214B0">
        <w:rPr>
          <w:color w:val="000000" w:themeColor="text1"/>
          <w:lang w:val="en-US"/>
        </w:rPr>
        <w:t>元，账面净值</w:t>
      </w:r>
      <w:r w:rsidRPr="00A214B0">
        <w:rPr>
          <w:color w:val="000000" w:themeColor="text1"/>
          <w:lang w:val="en-US"/>
        </w:rPr>
        <w:t xml:space="preserve">10,926.62 </w:t>
      </w:r>
      <w:r w:rsidRPr="00A214B0">
        <w:rPr>
          <w:color w:val="000000" w:themeColor="text1"/>
          <w:lang w:val="en-US"/>
        </w:rPr>
        <w:t>元；实用新型专利技术、发明专利、软件著作权及商标明细如下：</w:t>
      </w:r>
    </w:p>
    <w:p w:rsidR="00D56508" w:rsidRPr="00A214B0" w:rsidRDefault="00F1265B">
      <w:pPr>
        <w:pStyle w:val="ZW0"/>
        <w:snapToGrid w:val="0"/>
        <w:spacing w:line="240" w:lineRule="auto"/>
        <w:ind w:firstLineChars="200" w:firstLine="480"/>
        <w:jc w:val="center"/>
        <w:rPr>
          <w:rFonts w:ascii="Times New Roman" w:eastAsia="黑体" w:hAnsi="Times New Roman"/>
          <w:color w:val="000000" w:themeColor="text1"/>
          <w:sz w:val="24"/>
          <w:szCs w:val="28"/>
        </w:rPr>
      </w:pPr>
      <w:r w:rsidRPr="00A214B0">
        <w:rPr>
          <w:rFonts w:ascii="Times New Roman" w:eastAsia="黑体" w:hAnsi="Times New Roman"/>
          <w:color w:val="000000" w:themeColor="text1"/>
          <w:sz w:val="24"/>
          <w:szCs w:val="28"/>
        </w:rPr>
        <w:t>商标明细表</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750"/>
        <w:gridCol w:w="1017"/>
        <w:gridCol w:w="1162"/>
        <w:gridCol w:w="1305"/>
        <w:gridCol w:w="3131"/>
      </w:tblGrid>
      <w:tr w:rsidR="00D56508" w:rsidRPr="00A214B0">
        <w:trPr>
          <w:trHeight w:val="556"/>
          <w:tblHeader/>
        </w:trPr>
        <w:tc>
          <w:tcPr>
            <w:tcW w:w="684"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序号</w:t>
            </w:r>
          </w:p>
        </w:tc>
        <w:tc>
          <w:tcPr>
            <w:tcW w:w="1750"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内容或名称</w:t>
            </w:r>
          </w:p>
        </w:tc>
        <w:tc>
          <w:tcPr>
            <w:tcW w:w="1017"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取得日期</w:t>
            </w:r>
          </w:p>
        </w:tc>
        <w:tc>
          <w:tcPr>
            <w:tcW w:w="1162"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法定</w:t>
            </w:r>
            <w:r w:rsidRPr="00A214B0">
              <w:rPr>
                <w:rFonts w:ascii="Times New Roman" w:eastAsia="宋体" w:hAnsi="Times New Roman"/>
                <w:b/>
                <w:color w:val="000000" w:themeColor="text1"/>
                <w:sz w:val="18"/>
                <w:szCs w:val="18"/>
              </w:rPr>
              <w:t>/</w:t>
            </w:r>
            <w:r w:rsidRPr="00A214B0">
              <w:rPr>
                <w:rFonts w:ascii="Times New Roman" w:eastAsia="宋体" w:hAnsi="Times New Roman"/>
                <w:b/>
                <w:color w:val="000000" w:themeColor="text1"/>
                <w:sz w:val="18"/>
                <w:szCs w:val="18"/>
              </w:rPr>
              <w:t>预计使用年限</w:t>
            </w:r>
          </w:p>
        </w:tc>
        <w:tc>
          <w:tcPr>
            <w:tcW w:w="1305"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商标注册号</w:t>
            </w:r>
          </w:p>
        </w:tc>
        <w:tc>
          <w:tcPr>
            <w:tcW w:w="3131" w:type="dxa"/>
            <w:vAlign w:val="center"/>
          </w:tcPr>
          <w:p w:rsidR="00D56508" w:rsidRPr="00A214B0" w:rsidRDefault="00F1265B">
            <w:pPr>
              <w:pStyle w:val="ZW0"/>
              <w:snapToGrid w:val="0"/>
              <w:spacing w:line="240" w:lineRule="auto"/>
              <w:ind w:firstLine="0"/>
              <w:jc w:val="center"/>
              <w:rPr>
                <w:rFonts w:ascii="Times New Roman" w:eastAsia="宋体" w:hAnsi="Times New Roman"/>
                <w:b/>
                <w:color w:val="000000" w:themeColor="text1"/>
                <w:sz w:val="18"/>
                <w:szCs w:val="18"/>
              </w:rPr>
            </w:pPr>
            <w:r w:rsidRPr="00A214B0">
              <w:rPr>
                <w:rFonts w:ascii="Times New Roman" w:eastAsia="宋体" w:hAnsi="Times New Roman"/>
                <w:b/>
                <w:color w:val="000000" w:themeColor="text1"/>
                <w:sz w:val="18"/>
                <w:szCs w:val="18"/>
              </w:rPr>
              <w:t>注册人</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HQCC</w:t>
            </w:r>
          </w:p>
        </w:tc>
        <w:tc>
          <w:tcPr>
            <w:tcW w:w="1017"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single" w:sz="4" w:space="0" w:color="auto"/>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single" w:sz="4" w:space="0" w:color="auto"/>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14716472</w:t>
            </w:r>
          </w:p>
        </w:tc>
        <w:tc>
          <w:tcPr>
            <w:tcW w:w="3131"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14716376</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14715471</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14715573</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14715704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14715814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14715878</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2015-06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14716331</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9</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海企仓储</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9464364</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r w:rsidR="00D56508" w:rsidRPr="00A214B0">
        <w:trPr>
          <w:trHeight w:val="376"/>
        </w:trPr>
        <w:tc>
          <w:tcPr>
            <w:tcW w:w="684"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50" w:type="dxa"/>
            <w:vAlign w:val="center"/>
          </w:tcPr>
          <w:p w:rsidR="00D56508" w:rsidRPr="00A214B0" w:rsidRDefault="00F1265B">
            <w:pP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海企物流</w:t>
            </w:r>
          </w:p>
        </w:tc>
        <w:tc>
          <w:tcPr>
            <w:tcW w:w="1017"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0"/>
              </w:rPr>
            </w:pPr>
            <w:r w:rsidRPr="00A214B0">
              <w:rPr>
                <w:rFonts w:ascii="Times New Roman" w:hAnsi="Times New Roman" w:cs="Times New Roman"/>
                <w:color w:val="000000" w:themeColor="text1"/>
                <w:sz w:val="18"/>
                <w:szCs w:val="20"/>
              </w:rPr>
              <w:t>2012-06</w:t>
            </w:r>
          </w:p>
        </w:tc>
        <w:tc>
          <w:tcPr>
            <w:tcW w:w="1162" w:type="dxa"/>
            <w:tcBorders>
              <w:top w:val="nil"/>
              <w:left w:val="nil"/>
              <w:bottom w:val="single" w:sz="4" w:space="0" w:color="auto"/>
              <w:right w:val="single" w:sz="4" w:space="0" w:color="auto"/>
            </w:tcBorders>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r w:rsidRPr="00A214B0">
              <w:rPr>
                <w:rFonts w:ascii="Times New Roman" w:hAnsi="Times New Roman" w:cs="Times New Roman"/>
                <w:color w:val="000000" w:themeColor="text1"/>
                <w:sz w:val="18"/>
                <w:szCs w:val="18"/>
              </w:rPr>
              <w:t>年</w:t>
            </w:r>
          </w:p>
        </w:tc>
        <w:tc>
          <w:tcPr>
            <w:tcW w:w="1305" w:type="dxa"/>
            <w:tcBorders>
              <w:top w:val="nil"/>
              <w:left w:val="single" w:sz="4" w:space="0" w:color="auto"/>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28"/>
              </w:rPr>
            </w:pPr>
            <w:r w:rsidRPr="00A214B0">
              <w:rPr>
                <w:rFonts w:ascii="Times New Roman" w:hAnsi="Times New Roman" w:cs="Times New Roman"/>
                <w:color w:val="000000" w:themeColor="text1"/>
                <w:sz w:val="18"/>
                <w:szCs w:val="28"/>
              </w:rPr>
              <w:t>9464330</w:t>
            </w:r>
          </w:p>
        </w:tc>
        <w:tc>
          <w:tcPr>
            <w:tcW w:w="3131" w:type="dxa"/>
            <w:vAlign w:val="center"/>
          </w:tcPr>
          <w:p w:rsidR="00D56508" w:rsidRPr="00A214B0" w:rsidRDefault="00F1265B">
            <w:pPr>
              <w:jc w:val="center"/>
              <w:rPr>
                <w:rFonts w:ascii="Times New Roman" w:hAnsi="Times New Roman" w:cs="Times New Roman"/>
                <w:color w:val="000000" w:themeColor="text1"/>
              </w:rPr>
            </w:pPr>
            <w:r w:rsidRPr="00A214B0">
              <w:rPr>
                <w:rFonts w:ascii="Times New Roman" w:hAnsi="Times New Roman" w:cs="Times New Roman"/>
                <w:color w:val="000000" w:themeColor="text1"/>
                <w:sz w:val="18"/>
                <w:szCs w:val="18"/>
              </w:rPr>
              <w:t>江苏海企化工仓储股份有限公司</w:t>
            </w:r>
          </w:p>
        </w:tc>
      </w:tr>
    </w:tbl>
    <w:p w:rsidR="00D56508" w:rsidRPr="00A214B0" w:rsidRDefault="00F1265B">
      <w:pPr>
        <w:pStyle w:val="ZW0"/>
        <w:adjustRightInd/>
        <w:spacing w:line="360" w:lineRule="auto"/>
        <w:ind w:firstLineChars="200" w:firstLine="480"/>
        <w:jc w:val="center"/>
        <w:rPr>
          <w:rFonts w:ascii="Times New Roman" w:eastAsia="黑体" w:hAnsi="Times New Roman"/>
          <w:color w:val="000000" w:themeColor="text1"/>
        </w:rPr>
      </w:pPr>
      <w:r w:rsidRPr="00A214B0">
        <w:rPr>
          <w:rFonts w:ascii="Times New Roman" w:eastAsia="黑体" w:hAnsi="Times New Roman"/>
          <w:bCs/>
          <w:color w:val="000000" w:themeColor="text1"/>
          <w:sz w:val="24"/>
        </w:rPr>
        <w:t>专利明细表</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777"/>
        <w:gridCol w:w="2074"/>
        <w:gridCol w:w="1629"/>
        <w:gridCol w:w="1779"/>
        <w:gridCol w:w="1084"/>
      </w:tblGrid>
      <w:tr w:rsidR="00D56508" w:rsidRPr="00A214B0">
        <w:trPr>
          <w:trHeight w:val="315"/>
          <w:tblHeader/>
        </w:trPr>
        <w:tc>
          <w:tcPr>
            <w:tcW w:w="706"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序号</w:t>
            </w:r>
          </w:p>
        </w:tc>
        <w:tc>
          <w:tcPr>
            <w:tcW w:w="1777"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注册号</w:t>
            </w:r>
            <w:r w:rsidRPr="00A214B0">
              <w:rPr>
                <w:rFonts w:ascii="Times New Roman" w:hAnsi="Times New Roman" w:cs="Times New Roman"/>
                <w:b/>
                <w:bCs/>
                <w:color w:val="000000" w:themeColor="text1"/>
                <w:sz w:val="18"/>
                <w:szCs w:val="18"/>
              </w:rPr>
              <w:t>/</w:t>
            </w:r>
            <w:r w:rsidRPr="00A214B0">
              <w:rPr>
                <w:rFonts w:ascii="Times New Roman" w:hAnsi="Times New Roman" w:cs="Times New Roman"/>
                <w:b/>
                <w:bCs/>
                <w:color w:val="000000" w:themeColor="text1"/>
                <w:sz w:val="18"/>
                <w:szCs w:val="18"/>
              </w:rPr>
              <w:t>专利号</w:t>
            </w:r>
          </w:p>
        </w:tc>
        <w:tc>
          <w:tcPr>
            <w:tcW w:w="2074"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名称</w:t>
            </w:r>
          </w:p>
        </w:tc>
        <w:tc>
          <w:tcPr>
            <w:tcW w:w="1629"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类型</w:t>
            </w:r>
          </w:p>
        </w:tc>
        <w:tc>
          <w:tcPr>
            <w:tcW w:w="1779"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专利权人</w:t>
            </w:r>
          </w:p>
        </w:tc>
        <w:tc>
          <w:tcPr>
            <w:tcW w:w="1084" w:type="dxa"/>
            <w:vAlign w:val="center"/>
          </w:tcPr>
          <w:p w:rsidR="00D56508" w:rsidRPr="00A214B0" w:rsidRDefault="00F1265B">
            <w:pPr>
              <w:adjustRightInd w:val="0"/>
              <w:snapToGrid w:val="0"/>
              <w:jc w:val="center"/>
              <w:rPr>
                <w:rFonts w:ascii="Times New Roman"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授权公告日</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ZL201110388097.4</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一种用于储藏罐的异丁醛尾气回收和处理的方法及其装置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2015.11.18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ZL201310264220.0</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一种环氧丙烷卸船装置及卸船工艺</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2016.5.18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3</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ZL201310263948.1</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一种环氧丙烷存储装置及存储工艺</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2016.08.10</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4</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ZL201511009203.8</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一种在装卸过程中防止醋酸外泄的保护装置及其操作方法</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2016.10.26</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5</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ZL201610102597.X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一种减少混合芳烃挥发和气味的仓储装置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2017.03.29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6</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ZL201120360520.5</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一种用于软管上绕置防磨绳的工具总成</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2012.08.01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7</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ZL201120360504.6</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一种油水分离盒</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2012.08.29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8</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ZL201120486060.0</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一种用于储藏罐的异丁醛尾气回收和处理的装置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2012.08.01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9</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ZL201220295550.7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一种贮罐洗罐的污水处理装置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2013.01.16</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ZL201220507618.3</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一种用于运输软管的推车</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2013.05.08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11</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ZL201220671110.7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一种移动式电加热水箱</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2013.06.19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12</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ZL201220671093.7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一种发车台安全绳索</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2013.06.19</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13</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ZL201220649268.4</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一种用于对储藏罐进行喷淋降温的装置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2013.12.04</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14</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ZL201320377384.X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一种环氧丙烷卸船装置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2014.3.5</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15</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ZL201320377472.X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一种环氧丙烷存储装置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2014.03.05</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16</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 201320652224.1</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一种用于码头上改善供水质量的出水管</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2014.5.21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17</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ZL201420841840.6</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一种用于输料管接头的立式可移动升降支撑装置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2015.08.12</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18</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ZL201520757885.X</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一种利用风冷空压机热能加速液氮汽化的装置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2016.2.3</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19</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ZL201520950576.4</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一种储存易挥发液化品的储罐装置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2016.4.27</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20</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ZL201520980224.3</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一种移动式槽罐车卸货端口控制装置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2016.04.27</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21</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ZL201520876796.7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一种用于大型储罐的氮封系统多层级控制装置</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2016.05.18</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22</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ZL201620068359.7</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一种用于泵站管线的安全排气管道</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2016.8.31</w:t>
            </w:r>
          </w:p>
        </w:tc>
      </w:tr>
      <w:tr w:rsidR="00D56508" w:rsidRPr="00A214B0">
        <w:trPr>
          <w:trHeight w:val="315"/>
        </w:trPr>
        <w:tc>
          <w:tcPr>
            <w:tcW w:w="706" w:type="dxa"/>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23</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 201721022354.1</w:t>
            </w:r>
          </w:p>
        </w:tc>
        <w:tc>
          <w:tcPr>
            <w:tcW w:w="207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一种船用气液分离器</w:t>
            </w:r>
          </w:p>
        </w:tc>
        <w:tc>
          <w:tcPr>
            <w:tcW w:w="1629" w:type="dxa"/>
            <w:vAlign w:val="center"/>
          </w:tcPr>
          <w:p w:rsidR="00D56508" w:rsidRPr="00A214B0" w:rsidRDefault="00F1265B">
            <w:pPr>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adjustRightInd w:val="0"/>
              <w:snapToGrid w:val="0"/>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2018/4/17</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24</w:t>
            </w:r>
          </w:p>
        </w:tc>
        <w:tc>
          <w:tcPr>
            <w:tcW w:w="1777" w:type="dxa"/>
            <w:noWrap/>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ZL201721022367.9</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一种新型废气收集系统及废气处理系统</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sz w:val="18"/>
                <w:szCs w:val="18"/>
              </w:rPr>
              <w:t>实用新型专利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2018/6/12</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25</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ZL201811532554.0</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一种可对废气进行汇集具有压力调节机构的储罐设备</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26</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ZL201811612450.0</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一种环保型膜耦合式废气处理装置</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27</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ZL201710699763.3</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一种新型污水收集系统及污水处理系统</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499"/>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28</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ZL201710699783.0</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一种船用气液分离器</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r w:rsidR="00D56508" w:rsidRPr="00A214B0">
        <w:trPr>
          <w:trHeight w:val="315"/>
        </w:trPr>
        <w:tc>
          <w:tcPr>
            <w:tcW w:w="706" w:type="dxa"/>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29</w:t>
            </w:r>
          </w:p>
        </w:tc>
        <w:tc>
          <w:tcPr>
            <w:tcW w:w="1777" w:type="dxa"/>
            <w:noWrap/>
            <w:vAlign w:val="center"/>
          </w:tcPr>
          <w:p w:rsidR="00D56508" w:rsidRPr="00A214B0" w:rsidRDefault="00F1265B">
            <w:pPr>
              <w:adjustRightInd w:val="0"/>
              <w:snapToGrid w:val="0"/>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ZL201710699787.9</w:t>
            </w:r>
          </w:p>
        </w:tc>
        <w:tc>
          <w:tcPr>
            <w:tcW w:w="2074" w:type="dxa"/>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一种新型废气收集系统及废气处理系统</w:t>
            </w:r>
          </w:p>
        </w:tc>
        <w:tc>
          <w:tcPr>
            <w:tcW w:w="162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发明专利</w:t>
            </w:r>
          </w:p>
        </w:tc>
        <w:tc>
          <w:tcPr>
            <w:tcW w:w="1779"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江苏海企化工仓储股份有限公司</w:t>
            </w:r>
          </w:p>
        </w:tc>
        <w:tc>
          <w:tcPr>
            <w:tcW w:w="1084" w:type="dxa"/>
            <w:noWrap/>
            <w:vAlign w:val="center"/>
          </w:tcPr>
          <w:p w:rsidR="00D56508" w:rsidRPr="00A214B0" w:rsidRDefault="00F1265B">
            <w:pPr>
              <w:widowControl/>
              <w:jc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未授权</w:t>
            </w:r>
          </w:p>
        </w:tc>
      </w:tr>
    </w:tbl>
    <w:p w:rsidR="00D56508" w:rsidRPr="00A214B0" w:rsidRDefault="00F1265B">
      <w:pPr>
        <w:pStyle w:val="ZW0"/>
        <w:adjustRightInd/>
        <w:spacing w:line="360" w:lineRule="auto"/>
        <w:ind w:firstLineChars="200" w:firstLine="480"/>
        <w:jc w:val="center"/>
        <w:rPr>
          <w:rFonts w:ascii="Times New Roman" w:eastAsia="黑体" w:hAnsi="Times New Roman"/>
          <w:color w:val="000000" w:themeColor="text1"/>
        </w:rPr>
      </w:pPr>
      <w:r w:rsidRPr="00A214B0">
        <w:rPr>
          <w:rFonts w:ascii="Times New Roman" w:eastAsia="黑体" w:hAnsi="Times New Roman"/>
          <w:bCs/>
          <w:color w:val="000000" w:themeColor="text1"/>
          <w:sz w:val="24"/>
        </w:rPr>
        <w:t xml:space="preserve">　软件著作权明细表</w:t>
      </w:r>
    </w:p>
    <w:tbl>
      <w:tblPr>
        <w:tblW w:w="8863" w:type="dxa"/>
        <w:tblLayout w:type="fixed"/>
        <w:tblCellMar>
          <w:left w:w="0" w:type="dxa"/>
          <w:right w:w="0" w:type="dxa"/>
        </w:tblCellMar>
        <w:tblLook w:val="04A0" w:firstRow="1" w:lastRow="0" w:firstColumn="1" w:lastColumn="0" w:noHBand="0" w:noVBand="1"/>
      </w:tblPr>
      <w:tblGrid>
        <w:gridCol w:w="737"/>
        <w:gridCol w:w="4445"/>
        <w:gridCol w:w="1195"/>
        <w:gridCol w:w="2486"/>
      </w:tblGrid>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b/>
                <w:bCs/>
                <w:color w:val="000000" w:themeColor="text1"/>
                <w:sz w:val="18"/>
                <w:szCs w:val="18"/>
              </w:rPr>
            </w:pPr>
            <w:r w:rsidRPr="00A214B0">
              <w:rPr>
                <w:rFonts w:ascii="Times New Roman" w:eastAsia="宋体" w:hAnsi="Times New Roman" w:cs="Times New Roman"/>
                <w:b/>
                <w:bCs/>
                <w:color w:val="000000" w:themeColor="text1"/>
                <w:kern w:val="0"/>
                <w:sz w:val="18"/>
                <w:szCs w:val="18"/>
                <w:lang w:bidi="ar"/>
              </w:rPr>
              <w:t>序号</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内容或名称</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取得日期</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jc w:val="center"/>
              <w:rPr>
                <w:rFonts w:ascii="Times New Roman" w:eastAsia="宋体" w:hAnsi="Times New Roman" w:cs="Times New Roman"/>
                <w:b/>
                <w:bCs/>
                <w:color w:val="000000" w:themeColor="text1"/>
                <w:sz w:val="18"/>
                <w:szCs w:val="18"/>
              </w:rPr>
            </w:pPr>
            <w:r w:rsidRPr="00A214B0">
              <w:rPr>
                <w:rFonts w:ascii="Times New Roman" w:hAnsi="Times New Roman" w:cs="Times New Roman"/>
                <w:b/>
                <w:bCs/>
                <w:color w:val="000000" w:themeColor="text1"/>
                <w:sz w:val="18"/>
                <w:szCs w:val="18"/>
              </w:rPr>
              <w:t>注册号或专利号</w:t>
            </w:r>
          </w:p>
        </w:tc>
      </w:tr>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1</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海企化工仓储关键设备巡检管理系统</w:t>
            </w:r>
            <w:r w:rsidRPr="00A214B0">
              <w:rPr>
                <w:rFonts w:ascii="Times New Roman" w:eastAsia="宋体" w:hAnsi="Times New Roman" w:cs="Times New Roman"/>
                <w:color w:val="000000" w:themeColor="text1"/>
                <w:kern w:val="0"/>
                <w:sz w:val="18"/>
                <w:szCs w:val="18"/>
                <w:lang w:bidi="ar"/>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2016/04</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软著登字第</w:t>
            </w:r>
            <w:r w:rsidRPr="00A214B0">
              <w:rPr>
                <w:rFonts w:ascii="Times New Roman" w:eastAsia="宋体" w:hAnsi="Times New Roman" w:cs="Times New Roman"/>
                <w:color w:val="000000" w:themeColor="text1"/>
                <w:kern w:val="0"/>
                <w:sz w:val="18"/>
                <w:szCs w:val="18"/>
                <w:lang w:bidi="ar"/>
              </w:rPr>
              <w:t>2555365</w:t>
            </w:r>
            <w:r w:rsidRPr="00A214B0">
              <w:rPr>
                <w:rFonts w:ascii="Times New Roman" w:eastAsia="宋体" w:hAnsi="Times New Roman" w:cs="Times New Roman"/>
                <w:color w:val="000000" w:themeColor="text1"/>
                <w:kern w:val="0"/>
                <w:sz w:val="18"/>
                <w:szCs w:val="18"/>
                <w:lang w:bidi="ar"/>
              </w:rPr>
              <w:t>号</w:t>
            </w:r>
          </w:p>
        </w:tc>
      </w:tr>
      <w:tr w:rsidR="00D56508" w:rsidRPr="00A214B0">
        <w:trPr>
          <w:trHeight w:val="315"/>
        </w:trPr>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Arial Narrow"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2</w:t>
            </w:r>
          </w:p>
        </w:tc>
        <w:tc>
          <w:tcPr>
            <w:tcW w:w="4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left"/>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液化品码头装卸船作业远程智能控制系统</w:t>
            </w:r>
            <w:r w:rsidRPr="00A214B0">
              <w:rPr>
                <w:rFonts w:ascii="Times New Roman" w:eastAsia="宋体" w:hAnsi="Times New Roman" w:cs="Times New Roman"/>
                <w:color w:val="000000" w:themeColor="text1"/>
                <w:kern w:val="0"/>
                <w:sz w:val="18"/>
                <w:szCs w:val="18"/>
                <w:lang w:bidi="ar"/>
              </w:rPr>
              <w:t>V1.0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2014/12</w:t>
            </w: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软著登字第</w:t>
            </w:r>
            <w:r w:rsidRPr="00A214B0">
              <w:rPr>
                <w:rFonts w:ascii="Times New Roman" w:eastAsia="宋体" w:hAnsi="Times New Roman" w:cs="Times New Roman"/>
                <w:color w:val="000000" w:themeColor="text1"/>
                <w:kern w:val="0"/>
                <w:sz w:val="18"/>
                <w:szCs w:val="18"/>
                <w:lang w:bidi="ar"/>
              </w:rPr>
              <w:t>0957935</w:t>
            </w:r>
            <w:r w:rsidRPr="00A214B0">
              <w:rPr>
                <w:rFonts w:ascii="Times New Roman" w:eastAsia="宋体" w:hAnsi="Times New Roman" w:cs="Times New Roman"/>
                <w:color w:val="000000" w:themeColor="text1"/>
                <w:kern w:val="0"/>
                <w:sz w:val="18"/>
                <w:szCs w:val="18"/>
                <w:lang w:bidi="ar"/>
              </w:rPr>
              <w:t>号</w:t>
            </w:r>
          </w:p>
        </w:tc>
      </w:tr>
    </w:tbl>
    <w:p w:rsidR="00D56508" w:rsidRPr="00A214B0" w:rsidRDefault="00F1265B">
      <w:pPr>
        <w:pStyle w:val="22"/>
        <w:adjustRightInd w:val="0"/>
        <w:snapToGrid w:val="0"/>
        <w:spacing w:beforeLines="50" w:before="250"/>
        <w:ind w:firstLineChars="200" w:firstLine="480"/>
        <w:outlineLvl w:val="2"/>
        <w:rPr>
          <w:rFonts w:ascii="Times New Roman"/>
          <w:color w:val="000000" w:themeColor="text1"/>
        </w:rPr>
      </w:pPr>
      <w:bookmarkStart w:id="79" w:name="_Toc10975"/>
      <w:r w:rsidRPr="00A214B0">
        <w:rPr>
          <w:rFonts w:ascii="Times New Roman"/>
          <w:color w:val="000000" w:themeColor="text1"/>
        </w:rPr>
        <w:t>2.</w:t>
      </w:r>
      <w:r w:rsidRPr="00A214B0">
        <w:rPr>
          <w:rFonts w:ascii="Times New Roman"/>
          <w:color w:val="000000" w:themeColor="text1"/>
        </w:rPr>
        <w:t>评估程序及方法</w:t>
      </w:r>
      <w:bookmarkEnd w:id="79"/>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w:t>
      </w:r>
      <w:r w:rsidRPr="00A214B0">
        <w:rPr>
          <w:rFonts w:ascii="Times New Roman" w:eastAsia="宋体" w:hAnsi="Times New Roman"/>
          <w:color w:val="000000" w:themeColor="text1"/>
          <w:sz w:val="24"/>
          <w:szCs w:val="24"/>
        </w:rPr>
        <w:t>1</w:t>
      </w:r>
      <w:r w:rsidRPr="00A214B0">
        <w:rPr>
          <w:rFonts w:ascii="Times New Roman" w:eastAsia="宋体" w:hAnsi="Times New Roman"/>
          <w:color w:val="000000" w:themeColor="text1"/>
          <w:sz w:val="24"/>
          <w:szCs w:val="24"/>
        </w:rPr>
        <w:t>）账面记录的软件使用权</w:t>
      </w:r>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对于外购的微软操作系统，评估人员首先查看了相关凭证及协议，阅读了协议中规定的有关内容、权利期限，对技术或软件取得的合法、合理、真实、有效性进行核实；然后向财务人员、技术人员及计算机管理人员了解技术、软件的使用情况，确认其是否存在并判断尚可使用期限。经核实无清查调整事项。对外购的微软操作系统在交易市场选择类似的参照物，再根据功能和技术先进性、适用性对其调整，从而确定其现行购买价格为</w:t>
      </w:r>
      <w:r w:rsidRPr="00A214B0">
        <w:rPr>
          <w:rFonts w:ascii="Times New Roman" w:eastAsia="宋体" w:hAnsi="Times New Roman"/>
          <w:color w:val="000000" w:themeColor="text1"/>
          <w:sz w:val="24"/>
          <w:szCs w:val="24"/>
        </w:rPr>
        <w:t>16,000.00</w:t>
      </w:r>
      <w:r w:rsidRPr="00A214B0">
        <w:rPr>
          <w:rFonts w:ascii="Times New Roman" w:eastAsia="宋体" w:hAnsi="Times New Roman"/>
          <w:color w:val="000000" w:themeColor="text1"/>
          <w:sz w:val="24"/>
          <w:szCs w:val="24"/>
        </w:rPr>
        <w:t>元，并根据扣除增值税费用后的金额确定评估值，评估值为</w:t>
      </w:r>
      <w:r w:rsidRPr="00A214B0">
        <w:rPr>
          <w:rFonts w:ascii="Times New Roman" w:eastAsia="宋体" w:hAnsi="Times New Roman"/>
          <w:color w:val="000000" w:themeColor="text1"/>
          <w:sz w:val="24"/>
          <w:szCs w:val="24"/>
        </w:rPr>
        <w:t xml:space="preserve">14,159.29 </w:t>
      </w:r>
      <w:r w:rsidRPr="00A214B0">
        <w:rPr>
          <w:rFonts w:ascii="Times New Roman" w:eastAsia="宋体" w:hAnsi="Times New Roman"/>
          <w:color w:val="000000" w:themeColor="text1"/>
          <w:sz w:val="24"/>
          <w:szCs w:val="24"/>
        </w:rPr>
        <w:t>元。</w:t>
      </w:r>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w:t>
      </w:r>
      <w:r w:rsidRPr="00A214B0">
        <w:rPr>
          <w:rFonts w:ascii="Times New Roman" w:eastAsia="宋体" w:hAnsi="Times New Roman"/>
          <w:color w:val="000000" w:themeColor="text1"/>
          <w:sz w:val="24"/>
          <w:szCs w:val="24"/>
        </w:rPr>
        <w:t>2</w:t>
      </w:r>
      <w:r w:rsidRPr="00A214B0">
        <w:rPr>
          <w:rFonts w:ascii="Times New Roman" w:eastAsia="宋体" w:hAnsi="Times New Roman"/>
          <w:color w:val="000000" w:themeColor="text1"/>
          <w:sz w:val="24"/>
          <w:szCs w:val="24"/>
        </w:rPr>
        <w:t>）账面未记录的商标</w:t>
      </w:r>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评估人员查阅了所有商标的注册证书，核实了商标的合法、合理、真实及有效性，本次对商标采用成本法进行评估，以现行申请商标所需的申请费用作为评估值。</w:t>
      </w:r>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w:t>
      </w:r>
      <w:r w:rsidRPr="00A214B0">
        <w:rPr>
          <w:rFonts w:ascii="Times New Roman" w:eastAsia="宋体" w:hAnsi="Times New Roman"/>
          <w:color w:val="000000" w:themeColor="text1"/>
          <w:sz w:val="24"/>
          <w:szCs w:val="24"/>
        </w:rPr>
        <w:t>3</w:t>
      </w:r>
      <w:r w:rsidRPr="00A214B0">
        <w:rPr>
          <w:rFonts w:ascii="Times New Roman" w:eastAsia="宋体" w:hAnsi="Times New Roman"/>
          <w:color w:val="000000" w:themeColor="text1"/>
          <w:sz w:val="24"/>
          <w:szCs w:val="24"/>
        </w:rPr>
        <w:t>）账面未记录的专利权</w:t>
      </w:r>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对企业申报的账外专利权，均为已授权专利，全部专利权按期缴纳年费，专利均为公司研发形成，在化工产品存储过程中有一定程度的应用，评估人员向企业技术研发人员了解了各项专利的研发支出、应用于何种储罐等情况，根据专利的应用及先进性，将专利权打包成资产组组合采用收益法进行评估。评估过程具体见评估案例。</w:t>
      </w:r>
    </w:p>
    <w:p w:rsidR="00D56508" w:rsidRPr="00A214B0" w:rsidRDefault="00F1265B">
      <w:pPr>
        <w:pStyle w:val="ZW0"/>
        <w:numPr>
          <w:ilvl w:val="0"/>
          <w:numId w:val="14"/>
        </w:numPr>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账面未记录的专利权及软件著作权</w:t>
      </w:r>
    </w:p>
    <w:p w:rsidR="00D56508" w:rsidRPr="00A214B0" w:rsidRDefault="00F1265B">
      <w:pPr>
        <w:pStyle w:val="ZW0"/>
        <w:snapToGrid w:val="0"/>
        <w:spacing w:before="0" w:after="0" w:line="360" w:lineRule="auto"/>
        <w:ind w:firstLineChars="200" w:firstLine="480"/>
        <w:rPr>
          <w:rFonts w:ascii="Times New Roman" w:eastAsia="宋体" w:hAnsi="Times New Roman"/>
          <w:color w:val="000000" w:themeColor="text1"/>
          <w:sz w:val="24"/>
          <w:szCs w:val="24"/>
        </w:rPr>
      </w:pPr>
      <w:r w:rsidRPr="00A214B0">
        <w:rPr>
          <w:rFonts w:ascii="Times New Roman" w:eastAsia="宋体" w:hAnsi="Times New Roman"/>
          <w:color w:val="000000" w:themeColor="text1"/>
          <w:sz w:val="24"/>
          <w:szCs w:val="24"/>
        </w:rPr>
        <w:t>对企业申报的账外软件著作权，均已授权公告，软件著作权无需缴纳年费，软件著作权均为公司自主研发形成，评估人员向企业技术研发人员了解了各项软著权的研发支出、应用情况，经了解，该企业软件著作权与上述大部分专利权在企业经营作业中协同发挥作用，因此本次评估将软件著作权与上述专利一起打包成资产组进行评估。</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vanish/>
          <w:color w:val="000000" w:themeColor="text1"/>
          <w:sz w:val="24"/>
          <w:szCs w:val="24"/>
        </w:rPr>
      </w:pPr>
      <w:r w:rsidRPr="00A214B0">
        <w:rPr>
          <w:rFonts w:ascii="Times New Roman" w:eastAsia="宋体" w:hAnsi="Times New Roman" w:cs="Times New Roman"/>
          <w:vanish/>
          <w:color w:val="000000" w:themeColor="text1"/>
          <w:sz w:val="24"/>
          <w:szCs w:val="24"/>
        </w:rPr>
        <w:t>【软件的常用评估方法：</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vanish/>
          <w:color w:val="000000" w:themeColor="text1"/>
          <w:sz w:val="24"/>
          <w:szCs w:val="24"/>
        </w:rPr>
      </w:pPr>
      <w:r w:rsidRPr="00A214B0">
        <w:rPr>
          <w:rFonts w:ascii="Times New Roman" w:eastAsia="宋体" w:hAnsi="Times New Roman" w:cs="Times New Roman"/>
          <w:vanish/>
          <w:color w:val="000000" w:themeColor="text1"/>
          <w:sz w:val="24"/>
          <w:szCs w:val="24"/>
        </w:rPr>
        <w:t>1</w:t>
      </w:r>
      <w:r w:rsidRPr="00A214B0">
        <w:rPr>
          <w:rFonts w:ascii="Times New Roman" w:eastAsia="宋体" w:hAnsi="Times New Roman" w:cs="Times New Roman"/>
          <w:vanish/>
          <w:color w:val="000000" w:themeColor="text1"/>
          <w:sz w:val="24"/>
          <w:szCs w:val="24"/>
        </w:rPr>
        <w:t>、市场法：通过在软件市场、技术市场和资产市场上选择相同或相近的资产为参照物，针对各种价值影响因素，将评估对象与参照物进行差异比较调整（包括：系统平台及软件的功能差异、售后服务及免费升级期差异等），分析各项调整结果确定评估软件的评估值。</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vanish/>
          <w:color w:val="000000" w:themeColor="text1"/>
          <w:sz w:val="24"/>
          <w:szCs w:val="24"/>
        </w:rPr>
      </w:pPr>
      <w:r w:rsidRPr="00A214B0">
        <w:rPr>
          <w:rFonts w:ascii="Times New Roman" w:eastAsia="宋体" w:hAnsi="Times New Roman" w:cs="Times New Roman"/>
          <w:vanish/>
          <w:color w:val="000000" w:themeColor="text1"/>
          <w:sz w:val="24"/>
          <w:szCs w:val="24"/>
        </w:rPr>
        <w:t>2</w:t>
      </w:r>
      <w:r w:rsidRPr="00A214B0">
        <w:rPr>
          <w:rFonts w:ascii="Times New Roman" w:eastAsia="宋体" w:hAnsi="Times New Roman" w:cs="Times New Roman"/>
          <w:vanish/>
          <w:color w:val="000000" w:themeColor="text1"/>
          <w:sz w:val="24"/>
          <w:szCs w:val="24"/>
        </w:rPr>
        <w:t>、成本法：专用软件、大型软件、自用软件、开发中的软件和软件公司的产品软件等适用。基本方法为参数成本法，公式：</w:t>
      </w:r>
      <w:r w:rsidRPr="00A214B0">
        <w:rPr>
          <w:rFonts w:ascii="Times New Roman" w:eastAsia="宋体" w:hAnsi="Times New Roman" w:cs="Times New Roman"/>
          <w:vanish/>
          <w:color w:val="000000" w:themeColor="text1"/>
          <w:sz w:val="24"/>
          <w:szCs w:val="24"/>
        </w:rPr>
        <w:t>V</w:t>
      </w:r>
      <w:r w:rsidRPr="00A214B0">
        <w:rPr>
          <w:rFonts w:ascii="Times New Roman" w:eastAsia="宋体" w:hAnsi="Times New Roman" w:cs="Times New Roman"/>
          <w:vanish/>
          <w:color w:val="000000" w:themeColor="text1"/>
          <w:sz w:val="24"/>
          <w:szCs w:val="24"/>
        </w:rPr>
        <w:t>＝</w:t>
      </w:r>
      <w:r w:rsidRPr="00A214B0">
        <w:rPr>
          <w:rFonts w:ascii="Times New Roman" w:eastAsia="宋体" w:hAnsi="Times New Roman" w:cs="Times New Roman"/>
          <w:vanish/>
          <w:color w:val="000000" w:themeColor="text1"/>
          <w:sz w:val="24"/>
          <w:szCs w:val="24"/>
        </w:rPr>
        <w:t>C1+C2</w:t>
      </w:r>
      <w:r w:rsidRPr="00A214B0">
        <w:rPr>
          <w:rFonts w:ascii="Times New Roman" w:eastAsia="宋体" w:hAnsi="Times New Roman" w:cs="Times New Roman"/>
          <w:vanish/>
          <w:color w:val="000000" w:themeColor="text1"/>
          <w:sz w:val="24"/>
          <w:szCs w:val="24"/>
        </w:rPr>
        <w:t>（</w:t>
      </w:r>
      <w:r w:rsidRPr="00A214B0">
        <w:rPr>
          <w:rFonts w:ascii="Times New Roman" w:eastAsia="宋体" w:hAnsi="Times New Roman" w:cs="Times New Roman"/>
          <w:vanish/>
          <w:color w:val="000000" w:themeColor="text1"/>
          <w:sz w:val="24"/>
          <w:szCs w:val="24"/>
        </w:rPr>
        <w:t>C1—</w:t>
      </w:r>
      <w:r w:rsidRPr="00A214B0">
        <w:rPr>
          <w:rFonts w:ascii="Times New Roman" w:eastAsia="宋体" w:hAnsi="Times New Roman" w:cs="Times New Roman"/>
          <w:vanish/>
          <w:color w:val="000000" w:themeColor="text1"/>
          <w:sz w:val="24"/>
          <w:szCs w:val="24"/>
        </w:rPr>
        <w:t>开发成本，</w:t>
      </w:r>
      <w:r w:rsidRPr="00A214B0">
        <w:rPr>
          <w:rFonts w:ascii="Times New Roman" w:eastAsia="宋体" w:hAnsi="Times New Roman" w:cs="Times New Roman"/>
          <w:vanish/>
          <w:color w:val="000000" w:themeColor="text1"/>
          <w:sz w:val="24"/>
          <w:szCs w:val="24"/>
        </w:rPr>
        <w:t>C2—</w:t>
      </w:r>
      <w:r w:rsidRPr="00A214B0">
        <w:rPr>
          <w:rFonts w:ascii="Times New Roman" w:eastAsia="宋体" w:hAnsi="Times New Roman" w:cs="Times New Roman"/>
          <w:vanish/>
          <w:color w:val="000000" w:themeColor="text1"/>
          <w:sz w:val="24"/>
          <w:szCs w:val="24"/>
        </w:rPr>
        <w:t>维护成本。</w:t>
      </w:r>
      <w:r w:rsidRPr="00A214B0">
        <w:rPr>
          <w:rFonts w:ascii="Times New Roman" w:eastAsia="宋体" w:hAnsi="Times New Roman" w:cs="Times New Roman"/>
          <w:vanish/>
          <w:color w:val="000000" w:themeColor="text1"/>
          <w:sz w:val="24"/>
          <w:szCs w:val="24"/>
        </w:rPr>
        <w:t>C1</w:t>
      </w:r>
      <w:r w:rsidRPr="00A214B0">
        <w:rPr>
          <w:rFonts w:ascii="Times New Roman" w:eastAsia="宋体" w:hAnsi="Times New Roman" w:cs="Times New Roman"/>
          <w:vanish/>
          <w:color w:val="000000" w:themeColor="text1"/>
          <w:sz w:val="24"/>
          <w:szCs w:val="24"/>
        </w:rPr>
        <w:t>主要由需要的开发人员数量、开发时间长短、单位人工的单位时间成本、辅助材料及设备成本等决定）。</w:t>
      </w:r>
    </w:p>
    <w:p w:rsidR="00D56508" w:rsidRPr="00A214B0" w:rsidRDefault="00F1265B">
      <w:pPr>
        <w:pStyle w:val="ab"/>
        <w:tabs>
          <w:tab w:val="left" w:pos="851"/>
        </w:tabs>
        <w:snapToGrid w:val="0"/>
        <w:spacing w:line="360" w:lineRule="auto"/>
        <w:ind w:firstLineChars="200" w:firstLine="480"/>
        <w:outlineLvl w:val="2"/>
        <w:rPr>
          <w:rFonts w:eastAsia="宋体"/>
          <w:b w:val="0"/>
          <w:bCs/>
          <w:color w:val="000000" w:themeColor="text1"/>
          <w:sz w:val="24"/>
          <w:szCs w:val="24"/>
        </w:rPr>
      </w:pPr>
      <w:bookmarkStart w:id="80" w:name="_Toc12933"/>
      <w:r w:rsidRPr="00A214B0">
        <w:rPr>
          <w:rFonts w:eastAsia="宋体"/>
          <w:b w:val="0"/>
          <w:bCs/>
          <w:color w:val="000000" w:themeColor="text1"/>
          <w:sz w:val="24"/>
          <w:szCs w:val="24"/>
        </w:rPr>
        <w:t>3.</w:t>
      </w:r>
      <w:r w:rsidRPr="00A214B0">
        <w:rPr>
          <w:rFonts w:eastAsia="宋体"/>
          <w:b w:val="0"/>
          <w:bCs/>
          <w:color w:val="000000" w:themeColor="text1"/>
          <w:sz w:val="24"/>
          <w:szCs w:val="24"/>
        </w:rPr>
        <w:t>评估结论及分析</w:t>
      </w:r>
      <w:bookmarkEnd w:id="80"/>
    </w:p>
    <w:p w:rsidR="00D56508" w:rsidRPr="00A214B0" w:rsidRDefault="00F1265B">
      <w:pPr>
        <w:pStyle w:val="ab"/>
        <w:tabs>
          <w:tab w:val="left" w:pos="851"/>
        </w:tabs>
        <w:snapToGrid w:val="0"/>
        <w:spacing w:line="360" w:lineRule="auto"/>
        <w:ind w:firstLineChars="200" w:firstLine="480"/>
        <w:rPr>
          <w:rFonts w:eastAsia="宋体"/>
          <w:b w:val="0"/>
          <w:bCs/>
          <w:color w:val="000000" w:themeColor="text1"/>
          <w:sz w:val="24"/>
          <w:szCs w:val="24"/>
        </w:rPr>
      </w:pPr>
      <w:r w:rsidRPr="00A214B0">
        <w:rPr>
          <w:rFonts w:eastAsia="宋体"/>
          <w:b w:val="0"/>
          <w:bCs/>
          <w:color w:val="000000" w:themeColor="text1"/>
          <w:sz w:val="24"/>
          <w:szCs w:val="24"/>
        </w:rPr>
        <w:t>经评估计算，江苏海企化工仓储股份有限公司其他无形资产的评估结果为</w:t>
      </w:r>
      <w:r w:rsidRPr="00A214B0">
        <w:rPr>
          <w:rFonts w:eastAsia="宋体"/>
          <w:b w:val="0"/>
          <w:bCs/>
          <w:color w:val="000000" w:themeColor="text1"/>
          <w:sz w:val="24"/>
          <w:szCs w:val="24"/>
        </w:rPr>
        <w:t xml:space="preserve"> </w:t>
      </w:r>
      <w:r w:rsidRPr="00A214B0">
        <w:rPr>
          <w:rFonts w:eastAsia="宋体" w:hint="eastAsia"/>
          <w:b w:val="0"/>
          <w:bCs/>
          <w:color w:val="000000" w:themeColor="text1"/>
          <w:sz w:val="24"/>
          <w:szCs w:val="24"/>
        </w:rPr>
        <w:t xml:space="preserve"> 2,532,200.00</w:t>
      </w:r>
      <w:r w:rsidRPr="00A214B0">
        <w:rPr>
          <w:rFonts w:eastAsia="宋体"/>
          <w:b w:val="0"/>
          <w:bCs/>
          <w:color w:val="000000" w:themeColor="text1"/>
          <w:sz w:val="24"/>
          <w:szCs w:val="24"/>
        </w:rPr>
        <w:t>元。</w:t>
      </w:r>
    </w:p>
    <w:p w:rsidR="00D56508" w:rsidRPr="00A214B0" w:rsidRDefault="00F1265B">
      <w:pPr>
        <w:pStyle w:val="22"/>
        <w:adjustRightInd w:val="0"/>
        <w:snapToGrid w:val="0"/>
        <w:ind w:firstLineChars="200" w:firstLine="480"/>
        <w:outlineLvl w:val="2"/>
        <w:rPr>
          <w:rFonts w:ascii="Times New Roman"/>
          <w:bCs/>
          <w:color w:val="000000" w:themeColor="text1"/>
          <w:szCs w:val="24"/>
        </w:rPr>
      </w:pPr>
      <w:bookmarkStart w:id="81" w:name="_Toc15411"/>
      <w:r w:rsidRPr="00A214B0">
        <w:rPr>
          <w:rFonts w:ascii="Times New Roman"/>
          <w:bCs/>
          <w:color w:val="000000" w:themeColor="text1"/>
          <w:szCs w:val="24"/>
        </w:rPr>
        <w:t>4.</w:t>
      </w:r>
      <w:r w:rsidRPr="00A214B0">
        <w:rPr>
          <w:rFonts w:ascii="Times New Roman"/>
          <w:bCs/>
          <w:color w:val="000000" w:themeColor="text1"/>
          <w:szCs w:val="24"/>
        </w:rPr>
        <w:t>评估案例</w:t>
      </w:r>
      <w:bookmarkEnd w:id="81"/>
    </w:p>
    <w:p w:rsidR="00D56508" w:rsidRPr="00A214B0" w:rsidRDefault="00F1265B">
      <w:pPr>
        <w:pStyle w:val="a1"/>
        <w:adjustRightInd w:val="0"/>
        <w:snapToGrid w:val="0"/>
        <w:rPr>
          <w:b/>
          <w:color w:val="000000" w:themeColor="text1"/>
        </w:rPr>
      </w:pPr>
      <w:r w:rsidRPr="00A214B0">
        <w:rPr>
          <w:b/>
          <w:color w:val="000000" w:themeColor="text1"/>
        </w:rPr>
        <w:t>案例：</w:t>
      </w:r>
      <w:r w:rsidRPr="00A214B0">
        <w:rPr>
          <w:b/>
          <w:color w:val="000000" w:themeColor="text1"/>
          <w:szCs w:val="24"/>
        </w:rPr>
        <w:t>对于发明专利、实用新型专利技术及软件著作权</w:t>
      </w:r>
    </w:p>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1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①</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收益模型介绍</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由于纳入本次评估范围的各项专利权及软件著作权在被评估单位各项产品的开发设计、生产、销售与服务过程中协同发挥作用，本次评估综合考虑与被评估单位主营业务相关的各项专利权价值。</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采用收入分成法较能合理测算被评估单位专利权的价值，其基本公式为：</w:t>
      </w:r>
    </w:p>
    <w:p w:rsidR="00D56508" w:rsidRPr="00A214B0" w:rsidRDefault="00F1265B">
      <w:pPr>
        <w:snapToGrid w:val="0"/>
        <w:spacing w:line="360" w:lineRule="auto"/>
        <w:ind w:firstLineChars="200" w:firstLine="420"/>
        <w:rPr>
          <w:rFonts w:ascii="Times New Roman" w:hAnsi="Times New Roman" w:cs="Times New Roman"/>
          <w:color w:val="000000" w:themeColor="text1"/>
          <w:sz w:val="24"/>
          <w:szCs w:val="24"/>
        </w:rPr>
      </w:pPr>
      <w:r w:rsidRPr="00A214B0">
        <w:rPr>
          <w:rFonts w:ascii="Times New Roman" w:hAnsi="Times New Roman" w:cs="Times New Roman"/>
          <w:noProof/>
          <w:color w:val="000000" w:themeColor="text1"/>
        </w:rPr>
        <w:drawing>
          <wp:inline distT="0" distB="0" distL="114300" distR="114300" wp14:anchorId="59224EE1" wp14:editId="14390135">
            <wp:extent cx="1600200" cy="638175"/>
            <wp:effectExtent l="0" t="0" r="0" b="9525"/>
            <wp:docPr id="14" name="图片 14" descr="说明: 说明: KKSM6{C1A0G(S4DYLX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说明: KKSM6{C1A0G(S4DYLXP%[TA"/>
                    <pic:cNvPicPr>
                      <a:picLocks noChangeAspect="1"/>
                    </pic:cNvPicPr>
                  </pic:nvPicPr>
                  <pic:blipFill>
                    <a:blip r:embed="rId17"/>
                    <a:stretch>
                      <a:fillRect/>
                    </a:stretch>
                  </pic:blipFill>
                  <pic:spPr>
                    <a:xfrm>
                      <a:off x="0" y="0"/>
                      <a:ext cx="1600200" cy="638175"/>
                    </a:xfrm>
                    <a:prstGeom prst="rect">
                      <a:avLst/>
                    </a:prstGeom>
                    <a:noFill/>
                    <a:ln w="9525">
                      <a:noFill/>
                    </a:ln>
                  </pic:spPr>
                </pic:pic>
              </a:graphicData>
            </a:graphic>
          </wp:inline>
        </w:drawing>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式中：</w:t>
      </w:r>
      <w:r w:rsidRPr="00A214B0">
        <w:rPr>
          <w:rFonts w:ascii="Times New Roman" w:hAnsi="Times New Roman" w:cs="Times New Roman"/>
          <w:color w:val="000000" w:themeColor="text1"/>
          <w:sz w:val="24"/>
          <w:szCs w:val="24"/>
        </w:rPr>
        <w:t xml:space="preserve"> P</w:t>
      </w:r>
      <w:r w:rsidRPr="00A214B0">
        <w:rPr>
          <w:rFonts w:ascii="Times New Roman" w:hAnsi="Times New Roman" w:cs="Times New Roman"/>
          <w:color w:val="000000" w:themeColor="text1"/>
          <w:sz w:val="24"/>
          <w:szCs w:val="24"/>
        </w:rPr>
        <w:t>为评估价值</w:t>
      </w:r>
      <w:r w:rsidRPr="00A214B0">
        <w:rPr>
          <w:rFonts w:ascii="Times New Roman" w:hAnsi="Times New Roman" w:cs="Times New Roman"/>
          <w:color w:val="000000" w:themeColor="text1"/>
          <w:sz w:val="24"/>
          <w:szCs w:val="24"/>
        </w:rPr>
        <w:t xml:space="preserve"> </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       r</w:t>
      </w:r>
      <w:r w:rsidRPr="00A214B0">
        <w:rPr>
          <w:rFonts w:ascii="Times New Roman" w:hAnsi="Times New Roman" w:cs="Times New Roman"/>
          <w:color w:val="000000" w:themeColor="text1"/>
          <w:sz w:val="24"/>
          <w:szCs w:val="24"/>
        </w:rPr>
        <w:t>为折现率</w:t>
      </w:r>
      <w:r w:rsidRPr="00A214B0">
        <w:rPr>
          <w:rFonts w:ascii="Times New Roman" w:hAnsi="Times New Roman" w:cs="Times New Roman"/>
          <w:color w:val="000000" w:themeColor="text1"/>
          <w:sz w:val="24"/>
          <w:szCs w:val="24"/>
        </w:rPr>
        <w:t xml:space="preserve">  </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       Ai</w:t>
      </w:r>
      <w:r w:rsidRPr="00A214B0">
        <w:rPr>
          <w:rFonts w:ascii="Times New Roman" w:hAnsi="Times New Roman" w:cs="Times New Roman"/>
          <w:color w:val="000000" w:themeColor="text1"/>
          <w:sz w:val="24"/>
          <w:szCs w:val="24"/>
        </w:rPr>
        <w:t>为第</w:t>
      </w:r>
      <w:r w:rsidRPr="00A214B0">
        <w:rPr>
          <w:rFonts w:ascii="Times New Roman" w:hAnsi="Times New Roman" w:cs="Times New Roman"/>
          <w:color w:val="000000" w:themeColor="text1"/>
          <w:sz w:val="24"/>
          <w:szCs w:val="24"/>
        </w:rPr>
        <w:t>i</w:t>
      </w:r>
      <w:r w:rsidRPr="00A214B0">
        <w:rPr>
          <w:rFonts w:ascii="Times New Roman" w:hAnsi="Times New Roman" w:cs="Times New Roman"/>
          <w:color w:val="000000" w:themeColor="text1"/>
          <w:sz w:val="24"/>
          <w:szCs w:val="24"/>
        </w:rPr>
        <w:t>年的收入</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       K</w:t>
      </w:r>
      <w:r w:rsidRPr="00A214B0">
        <w:rPr>
          <w:rFonts w:ascii="Times New Roman" w:hAnsi="Times New Roman" w:cs="Times New Roman"/>
          <w:color w:val="000000" w:themeColor="text1"/>
          <w:sz w:val="24"/>
          <w:szCs w:val="24"/>
        </w:rPr>
        <w:t>为技术分成率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       n</w:t>
      </w:r>
      <w:r w:rsidRPr="00A214B0">
        <w:rPr>
          <w:rFonts w:ascii="Times New Roman" w:hAnsi="Times New Roman" w:cs="Times New Roman"/>
          <w:color w:val="000000" w:themeColor="text1"/>
          <w:sz w:val="24"/>
          <w:szCs w:val="24"/>
        </w:rPr>
        <w:t>为经济寿命年限</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 xml:space="preserve">       i</w:t>
      </w:r>
      <w:r w:rsidRPr="00A214B0">
        <w:rPr>
          <w:rFonts w:ascii="Times New Roman" w:hAnsi="Times New Roman" w:cs="Times New Roman"/>
          <w:color w:val="000000" w:themeColor="text1"/>
          <w:sz w:val="24"/>
          <w:szCs w:val="24"/>
        </w:rPr>
        <w:t>为时序，未来第</w:t>
      </w:r>
      <w:r w:rsidRPr="00A214B0">
        <w:rPr>
          <w:rFonts w:ascii="Times New Roman" w:hAnsi="Times New Roman" w:cs="Times New Roman"/>
          <w:color w:val="000000" w:themeColor="text1"/>
          <w:sz w:val="24"/>
          <w:szCs w:val="24"/>
        </w:rPr>
        <w:t>i</w:t>
      </w:r>
      <w:r w:rsidRPr="00A214B0">
        <w:rPr>
          <w:rFonts w:ascii="Times New Roman" w:hAnsi="Times New Roman" w:cs="Times New Roman"/>
          <w:color w:val="000000" w:themeColor="text1"/>
          <w:sz w:val="24"/>
          <w:szCs w:val="24"/>
        </w:rPr>
        <w:t>年</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②</w:t>
      </w:r>
      <w:r w:rsidRPr="00A214B0">
        <w:rPr>
          <w:rFonts w:ascii="Times New Roman" w:hAnsi="Times New Roman" w:cs="Times New Roman"/>
          <w:color w:val="000000" w:themeColor="text1"/>
          <w:sz w:val="24"/>
          <w:szCs w:val="24"/>
        </w:rPr>
        <w:t>经济寿命年限的确定</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无形资产的寿命分自然寿命、法律寿命和经济寿命。自然寿命是指该科技成果被新技术替代的时间，法律寿命是法律保护期限或者合同规定的期限，经济寿命是指技术能够带来超额经济收益的期限。</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通常，无形资产的自然寿命远远超过它的经济寿命。无形资产的收益期限取决于超额经济寿命，即能带来超额收益的时间。一般情况下，无形资产的经济寿命比法律（合同）寿命短，如：发明专利的有效期为</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年，但实际上一般在</w:t>
      </w:r>
      <w:r w:rsidRPr="00A214B0">
        <w:rPr>
          <w:rFonts w:ascii="Times New Roman" w:hAnsi="Times New Roman" w:cs="Times New Roman"/>
          <w:color w:val="000000" w:themeColor="text1"/>
          <w:sz w:val="24"/>
          <w:szCs w:val="24"/>
        </w:rPr>
        <w:t>5</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10</w:t>
      </w:r>
      <w:r w:rsidRPr="00A214B0">
        <w:rPr>
          <w:rFonts w:ascii="Times New Roman" w:hAnsi="Times New Roman" w:cs="Times New Roman"/>
          <w:color w:val="000000" w:themeColor="text1"/>
          <w:sz w:val="24"/>
          <w:szCs w:val="24"/>
        </w:rPr>
        <w:t>年甚至更短的时间就会完成一次技术更新，原有的发明技术即使继续受专利法保护，但因其已不再具有先进性，因此也不能再为所有者带来超额收益，此时，发明的拥有者可能会主动放弃该技术，表明它的经济寿命已经结束。</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无形资产的经济寿命取决于行业技术的发展更新速度、技术的领先程度、法律或者行政保护强度。由于科学技术是不断发展的，并且，科技发展的速度越来越快，一种新的、更为先进、适用或效益更高的技术资产的出现，使原有技术资产贬值，甚至失去使用价值。通常，影响无形资产寿命的因素是多种多样的，主要有法规（合同）年限、保密状况、产品更新周期、可替代性、市场竞争情况、技术资产传播面和再生产费用等。</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确定无形资产的超额经济寿命期可以根据相关无形资产的更新周期评估剩余经济年限。无形资产的更新周期有两大参照系，一是产品更新周期，在一些高新技术和新兴产业，科学技术进步往往很快转化为产品的更新换代。二是技术更新周期，即新一代技术的出现替代现役技术的时间。具体测算时，通常根据同类技术资产的历史经验数据。</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通过考察，由于该领域技术的竞争较活跃，技术的升级换代也较快，新技术的不断涌现会缩短本评估对象的经济寿命，并且有些专利随着保护期的结束而不再受法律保护，在仔细分析本次评估对象的特点和与企业有关部门技术人员、企业管理人员访谈后，并考虑同行业技术领域内一般技术的实际经济寿命年限，确定待估专利资产组合剩余超额收益获利期为</w:t>
      </w:r>
      <w:r w:rsidRPr="00A214B0">
        <w:rPr>
          <w:rFonts w:ascii="Times New Roman" w:hAnsi="Times New Roman" w:cs="Times New Roman"/>
          <w:color w:val="000000" w:themeColor="text1"/>
          <w:sz w:val="24"/>
          <w:szCs w:val="24"/>
        </w:rPr>
        <w:t>3</w:t>
      </w:r>
      <w:r w:rsidRPr="00A214B0">
        <w:rPr>
          <w:rFonts w:ascii="Times New Roman" w:hAnsi="Times New Roman" w:cs="Times New Roman"/>
          <w:color w:val="000000" w:themeColor="text1"/>
          <w:sz w:val="24"/>
          <w:szCs w:val="24"/>
        </w:rPr>
        <w:t>年，即</w:t>
      </w:r>
      <w:r w:rsidRPr="00A214B0">
        <w:rPr>
          <w:rFonts w:ascii="Times New Roman" w:hAnsi="Times New Roman" w:cs="Times New Roman"/>
          <w:color w:val="000000" w:themeColor="text1"/>
          <w:sz w:val="24"/>
          <w:szCs w:val="24"/>
        </w:rPr>
        <w:t>2020</w:t>
      </w:r>
      <w:r w:rsidRPr="00A214B0">
        <w:rPr>
          <w:rFonts w:ascii="Times New Roman" w:hAnsi="Times New Roman" w:cs="Times New Roman"/>
          <w:color w:val="000000" w:themeColor="text1"/>
          <w:sz w:val="24"/>
          <w:szCs w:val="24"/>
        </w:rPr>
        <w:t>年至</w:t>
      </w:r>
      <w:r w:rsidRPr="00A214B0">
        <w:rPr>
          <w:rFonts w:ascii="Times New Roman" w:hAnsi="Times New Roman" w:cs="Times New Roman"/>
          <w:color w:val="000000" w:themeColor="text1"/>
          <w:sz w:val="24"/>
          <w:szCs w:val="24"/>
        </w:rPr>
        <w:t>2022</w:t>
      </w:r>
      <w:r w:rsidRPr="00A214B0">
        <w:rPr>
          <w:rFonts w:ascii="Times New Roman" w:hAnsi="Times New Roman" w:cs="Times New Roman"/>
          <w:color w:val="000000" w:themeColor="text1"/>
          <w:sz w:val="24"/>
          <w:szCs w:val="24"/>
        </w:rPr>
        <w:t>年。</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③</w:t>
      </w:r>
      <w:r w:rsidRPr="00A214B0">
        <w:rPr>
          <w:rFonts w:ascii="Times New Roman" w:hAnsi="Times New Roman" w:cs="Times New Roman"/>
          <w:color w:val="000000" w:themeColor="text1"/>
          <w:sz w:val="24"/>
          <w:szCs w:val="24"/>
        </w:rPr>
        <w:t>专利权的收益预测</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snapToGrid w:val="0"/>
          <w:color w:val="000000" w:themeColor="text1"/>
          <w:sz w:val="24"/>
          <w:szCs w:val="24"/>
        </w:rPr>
        <w:t>企业的收入主要来源于仓储收入，具体预测过程见收益法部分。预测数据如下：</w:t>
      </w:r>
    </w:p>
    <w:p w:rsidR="00D56508" w:rsidRPr="00A214B0" w:rsidRDefault="00F1265B">
      <w:pPr>
        <w:adjustRightInd w:val="0"/>
        <w:snapToGrid w:val="0"/>
        <w:spacing w:line="360" w:lineRule="auto"/>
        <w:jc w:val="center"/>
        <w:rPr>
          <w:rFonts w:ascii="Times New Roman" w:eastAsia="黑体" w:hAnsi="Times New Roman" w:cs="Times New Roman"/>
          <w:color w:val="000000" w:themeColor="text1"/>
          <w:sz w:val="22"/>
        </w:rPr>
      </w:pPr>
      <w:r w:rsidRPr="00A214B0">
        <w:rPr>
          <w:rFonts w:ascii="Times New Roman" w:eastAsia="黑体" w:hAnsi="Times New Roman" w:cs="Times New Roman"/>
          <w:color w:val="000000" w:themeColor="text1"/>
          <w:sz w:val="22"/>
        </w:rPr>
        <w:t xml:space="preserve"> 2019</w:t>
      </w:r>
      <w:r w:rsidRPr="00A214B0">
        <w:rPr>
          <w:rFonts w:ascii="Times New Roman" w:eastAsia="黑体" w:hAnsi="Times New Roman" w:cs="Times New Roman"/>
          <w:color w:val="000000" w:themeColor="text1"/>
          <w:sz w:val="22"/>
        </w:rPr>
        <w:t>年</w:t>
      </w:r>
      <w:r w:rsidRPr="00A214B0">
        <w:rPr>
          <w:rFonts w:ascii="Times New Roman" w:eastAsia="黑体" w:hAnsi="Times New Roman" w:cs="Times New Roman"/>
          <w:color w:val="000000" w:themeColor="text1"/>
          <w:sz w:val="22"/>
        </w:rPr>
        <w:t>-2022</w:t>
      </w:r>
      <w:r w:rsidRPr="00A214B0">
        <w:rPr>
          <w:rFonts w:ascii="Times New Roman" w:eastAsia="黑体" w:hAnsi="Times New Roman" w:cs="Times New Roman"/>
          <w:color w:val="000000" w:themeColor="text1"/>
          <w:sz w:val="22"/>
        </w:rPr>
        <w:t>年仓储收入预测表</w:t>
      </w:r>
    </w:p>
    <w:p w:rsidR="00D56508" w:rsidRPr="00A214B0" w:rsidRDefault="00F1265B">
      <w:pPr>
        <w:adjustRightInd w:val="0"/>
        <w:snapToGrid w:val="0"/>
        <w:jc w:val="right"/>
        <w:rPr>
          <w:rFonts w:ascii="Times New Roman" w:eastAsia="黑体" w:hAnsi="Times New Roman" w:cs="Times New Roman"/>
          <w:color w:val="000000" w:themeColor="text1"/>
          <w:szCs w:val="21"/>
        </w:rPr>
      </w:pPr>
      <w:r w:rsidRPr="00A214B0">
        <w:rPr>
          <w:rFonts w:ascii="Times New Roman" w:eastAsia="黑体" w:hAnsi="Times New Roman" w:cs="Times New Roman"/>
          <w:color w:val="000000" w:themeColor="text1"/>
          <w:szCs w:val="21"/>
        </w:rPr>
        <w:t>金额单元：人民币万元</w:t>
      </w:r>
    </w:p>
    <w:p w:rsidR="00D56508" w:rsidRPr="00A214B0" w:rsidRDefault="00D56508">
      <w:pPr>
        <w:adjustRightInd w:val="0"/>
        <w:snapToGrid w:val="0"/>
        <w:jc w:val="right"/>
        <w:rPr>
          <w:rFonts w:ascii="Times New Roman" w:hAnsi="Times New Roman" w:cs="Times New Roman"/>
          <w:color w:val="000000" w:themeColor="text1"/>
          <w:szCs w:val="21"/>
        </w:rPr>
      </w:pPr>
    </w:p>
    <w:tbl>
      <w:tblPr>
        <w:tblW w:w="8834" w:type="dxa"/>
        <w:tblLayout w:type="fixed"/>
        <w:tblLook w:val="04A0" w:firstRow="1" w:lastRow="0" w:firstColumn="1" w:lastColumn="0" w:noHBand="0" w:noVBand="1"/>
      </w:tblPr>
      <w:tblGrid>
        <w:gridCol w:w="1518"/>
        <w:gridCol w:w="1606"/>
        <w:gridCol w:w="1784"/>
        <w:gridCol w:w="2200"/>
        <w:gridCol w:w="1726"/>
      </w:tblGrid>
      <w:tr w:rsidR="00D56508" w:rsidRPr="00A214B0">
        <w:trPr>
          <w:trHeight w:val="255"/>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D56508">
            <w:pPr>
              <w:jc w:val="center"/>
              <w:rPr>
                <w:rFonts w:ascii="Times New Roman" w:hAnsi="Times New Roman" w:cs="Times New Roman"/>
                <w:color w:val="000000" w:themeColor="text1"/>
                <w:sz w:val="20"/>
                <w:szCs w:val="20"/>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20"/>
                <w:szCs w:val="20"/>
              </w:rPr>
            </w:pPr>
            <w:r w:rsidRPr="00A214B0">
              <w:rPr>
                <w:rFonts w:ascii="Times New Roman" w:hAnsi="Times New Roman" w:cs="Times New Roman"/>
                <w:b/>
                <w:bCs/>
                <w:color w:val="000000" w:themeColor="text1"/>
                <w:sz w:val="20"/>
                <w:szCs w:val="20"/>
              </w:rPr>
              <w:t>2019</w:t>
            </w:r>
            <w:r w:rsidRPr="00A214B0">
              <w:rPr>
                <w:rFonts w:ascii="Times New Roman" w:hAnsi="Times New Roman" w:cs="Times New Roman"/>
                <w:b/>
                <w:bCs/>
                <w:color w:val="000000" w:themeColor="text1"/>
                <w:sz w:val="20"/>
                <w:szCs w:val="20"/>
              </w:rPr>
              <w:t>年</w:t>
            </w:r>
            <w:r w:rsidRPr="00A214B0">
              <w:rPr>
                <w:rFonts w:ascii="Times New Roman" w:hAnsi="Times New Roman" w:cs="Times New Roman"/>
                <w:b/>
                <w:bCs/>
                <w:color w:val="000000" w:themeColor="text1"/>
                <w:sz w:val="20"/>
                <w:szCs w:val="20"/>
              </w:rPr>
              <w:t>5-12</w:t>
            </w:r>
            <w:r w:rsidRPr="00A214B0">
              <w:rPr>
                <w:rFonts w:ascii="Times New Roman" w:hAnsi="Times New Roman" w:cs="Times New Roman"/>
                <w:b/>
                <w:bCs/>
                <w:color w:val="000000" w:themeColor="text1"/>
                <w:sz w:val="20"/>
                <w:szCs w:val="20"/>
              </w:rPr>
              <w:t>月</w:t>
            </w:r>
          </w:p>
        </w:tc>
        <w:tc>
          <w:tcPr>
            <w:tcW w:w="1784"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20"/>
                <w:szCs w:val="20"/>
              </w:rPr>
            </w:pPr>
            <w:r w:rsidRPr="00A214B0">
              <w:rPr>
                <w:rFonts w:ascii="Times New Roman" w:hAnsi="Times New Roman" w:cs="Times New Roman"/>
                <w:b/>
                <w:bCs/>
                <w:color w:val="000000" w:themeColor="text1"/>
                <w:sz w:val="20"/>
                <w:szCs w:val="20"/>
              </w:rPr>
              <w:t>20</w:t>
            </w:r>
            <w:r w:rsidRPr="00A214B0">
              <w:rPr>
                <w:rFonts w:ascii="Times New Roman" w:hAnsi="Times New Roman" w:cs="Times New Roman" w:hint="eastAsia"/>
                <w:b/>
                <w:bCs/>
                <w:color w:val="000000" w:themeColor="text1"/>
                <w:sz w:val="20"/>
                <w:szCs w:val="20"/>
              </w:rPr>
              <w:t>2</w:t>
            </w:r>
            <w:r w:rsidRPr="00A214B0">
              <w:rPr>
                <w:rFonts w:ascii="Times New Roman" w:hAnsi="Times New Roman" w:cs="Times New Roman"/>
                <w:b/>
                <w:bCs/>
                <w:color w:val="000000" w:themeColor="text1"/>
                <w:sz w:val="20"/>
                <w:szCs w:val="20"/>
              </w:rPr>
              <w:t>0</w:t>
            </w:r>
            <w:r w:rsidRPr="00A214B0">
              <w:rPr>
                <w:rFonts w:ascii="Times New Roman" w:hAnsi="Times New Roman" w:cs="Times New Roman"/>
                <w:b/>
                <w:bCs/>
                <w:color w:val="000000" w:themeColor="text1"/>
                <w:sz w:val="20"/>
                <w:szCs w:val="20"/>
              </w:rPr>
              <w:t>年</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20"/>
                <w:szCs w:val="20"/>
              </w:rPr>
            </w:pPr>
            <w:r w:rsidRPr="00A214B0">
              <w:rPr>
                <w:rFonts w:ascii="Times New Roman" w:hAnsi="Times New Roman" w:cs="Times New Roman"/>
                <w:b/>
                <w:bCs/>
                <w:color w:val="000000" w:themeColor="text1"/>
                <w:sz w:val="20"/>
                <w:szCs w:val="20"/>
              </w:rPr>
              <w:t>2021</w:t>
            </w:r>
            <w:r w:rsidRPr="00A214B0">
              <w:rPr>
                <w:rFonts w:ascii="Times New Roman" w:hAnsi="Times New Roman" w:cs="Times New Roman"/>
                <w:b/>
                <w:bCs/>
                <w:color w:val="000000" w:themeColor="text1"/>
                <w:sz w:val="20"/>
                <w:szCs w:val="20"/>
              </w:rPr>
              <w:t>年</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b/>
                <w:bCs/>
                <w:color w:val="000000" w:themeColor="text1"/>
                <w:sz w:val="20"/>
                <w:szCs w:val="20"/>
              </w:rPr>
            </w:pPr>
            <w:r w:rsidRPr="00A214B0">
              <w:rPr>
                <w:rFonts w:ascii="Times New Roman" w:hAnsi="Times New Roman" w:cs="Times New Roman"/>
                <w:b/>
                <w:bCs/>
                <w:color w:val="000000" w:themeColor="text1"/>
                <w:sz w:val="20"/>
                <w:szCs w:val="20"/>
              </w:rPr>
              <w:t>2022</w:t>
            </w:r>
            <w:r w:rsidRPr="00A214B0">
              <w:rPr>
                <w:rFonts w:ascii="Times New Roman" w:hAnsi="Times New Roman" w:cs="Times New Roman"/>
                <w:b/>
                <w:bCs/>
                <w:color w:val="000000" w:themeColor="text1"/>
                <w:sz w:val="20"/>
                <w:szCs w:val="20"/>
              </w:rPr>
              <w:t>年</w:t>
            </w:r>
          </w:p>
        </w:tc>
      </w:tr>
      <w:tr w:rsidR="00D56508" w:rsidRPr="00A214B0">
        <w:trPr>
          <w:trHeight w:val="255"/>
        </w:trPr>
        <w:tc>
          <w:tcPr>
            <w:tcW w:w="151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仓储收入</w:t>
            </w:r>
          </w:p>
        </w:tc>
        <w:tc>
          <w:tcPr>
            <w:tcW w:w="1606"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 xml:space="preserve"> 5,416.04 </w:t>
            </w:r>
          </w:p>
        </w:tc>
        <w:tc>
          <w:tcPr>
            <w:tcW w:w="1784"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 xml:space="preserve"> 10,143.30 </w:t>
            </w:r>
          </w:p>
        </w:tc>
        <w:tc>
          <w:tcPr>
            <w:tcW w:w="220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 xml:space="preserve"> 10,751.90 </w:t>
            </w:r>
          </w:p>
        </w:tc>
        <w:tc>
          <w:tcPr>
            <w:tcW w:w="1726"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right"/>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 xml:space="preserve"> 11,289.49 </w:t>
            </w:r>
          </w:p>
        </w:tc>
      </w:tr>
    </w:tbl>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fldChar w:fldCharType="begin"/>
      </w:r>
      <w:r w:rsidRPr="00A214B0">
        <w:rPr>
          <w:rFonts w:ascii="Times New Roman" w:eastAsia="宋体" w:hAnsi="Times New Roman" w:cs="Times New Roman"/>
          <w:color w:val="000000" w:themeColor="text1"/>
          <w:sz w:val="24"/>
          <w:szCs w:val="24"/>
        </w:rPr>
        <w:instrText xml:space="preserve"> = 4 \* GB3 </w:instrText>
      </w:r>
      <w:r w:rsidRPr="00A214B0">
        <w:rPr>
          <w:rFonts w:ascii="Times New Roman" w:eastAsia="宋体" w:hAnsi="Times New Roman" w:cs="Times New Roman"/>
          <w:color w:val="000000" w:themeColor="text1"/>
          <w:sz w:val="24"/>
          <w:szCs w:val="24"/>
        </w:rPr>
        <w:fldChar w:fldCharType="separate"/>
      </w:r>
      <w:r w:rsidRPr="00A214B0">
        <w:rPr>
          <w:rFonts w:ascii="Times New Roman" w:eastAsia="宋体" w:hAnsi="Times New Roman" w:cs="Times New Roman"/>
          <w:color w:val="000000" w:themeColor="text1"/>
          <w:sz w:val="24"/>
          <w:szCs w:val="24"/>
        </w:rPr>
        <w:t>④</w:t>
      </w:r>
      <w:r w:rsidRPr="00A214B0">
        <w:rPr>
          <w:rFonts w:ascii="Times New Roman" w:eastAsia="宋体" w:hAnsi="Times New Roman" w:cs="Times New Roman"/>
          <w:color w:val="000000" w:themeColor="text1"/>
          <w:sz w:val="24"/>
          <w:szCs w:val="24"/>
        </w:rPr>
        <w:fldChar w:fldCharType="end"/>
      </w:r>
      <w:r w:rsidRPr="00A214B0">
        <w:rPr>
          <w:rFonts w:ascii="Times New Roman" w:eastAsia="宋体" w:hAnsi="Times New Roman" w:cs="Times New Roman"/>
          <w:color w:val="000000" w:themeColor="text1"/>
          <w:sz w:val="24"/>
          <w:szCs w:val="24"/>
        </w:rPr>
        <w:t>分成率的确定</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分成率计算公式如下：</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k=n+</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m-n</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式中：</w:t>
      </w:r>
      <w:r w:rsidRPr="00A214B0">
        <w:rPr>
          <w:rFonts w:ascii="Times New Roman" w:eastAsia="宋体" w:hAnsi="Times New Roman" w:cs="Times New Roman"/>
          <w:color w:val="000000" w:themeColor="text1"/>
          <w:sz w:val="24"/>
          <w:szCs w:val="24"/>
        </w:rPr>
        <w:t xml:space="preserve"> </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K</w:t>
      </w:r>
      <w:r w:rsidRPr="00A214B0">
        <w:rPr>
          <w:rFonts w:ascii="Times New Roman" w:eastAsia="宋体" w:hAnsi="Times New Roman" w:cs="Times New Roman"/>
          <w:color w:val="000000" w:themeColor="text1"/>
          <w:sz w:val="24"/>
          <w:szCs w:val="24"/>
        </w:rPr>
        <w:t>：收入分成率</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m</w:t>
      </w:r>
      <w:r w:rsidRPr="00A214B0">
        <w:rPr>
          <w:rFonts w:ascii="Times New Roman" w:eastAsia="宋体" w:hAnsi="Times New Roman" w:cs="Times New Roman"/>
          <w:color w:val="000000" w:themeColor="text1"/>
          <w:sz w:val="24"/>
          <w:szCs w:val="24"/>
        </w:rPr>
        <w:t>：分成率的取值上限</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n</w:t>
      </w:r>
      <w:r w:rsidRPr="00A214B0">
        <w:rPr>
          <w:rFonts w:ascii="Times New Roman" w:eastAsia="宋体" w:hAnsi="Times New Roman" w:cs="Times New Roman"/>
          <w:color w:val="000000" w:themeColor="text1"/>
          <w:sz w:val="24"/>
          <w:szCs w:val="24"/>
        </w:rPr>
        <w:t>：分成率的取值下限</w:t>
      </w:r>
    </w:p>
    <w:p w:rsidR="00D56508" w:rsidRPr="00A214B0" w:rsidRDefault="00F1265B">
      <w:pPr>
        <w:adjustRightInd w:val="0"/>
        <w:snapToGrid w:val="0"/>
        <w:spacing w:beforeLines="50" w:before="250"/>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：分成率的调整系数</w:t>
      </w:r>
    </w:p>
    <w:p w:rsidR="00D56508" w:rsidRPr="00A214B0" w:rsidRDefault="00F1265B">
      <w:pPr>
        <w:tabs>
          <w:tab w:val="left" w:pos="910"/>
          <w:tab w:val="left" w:pos="980"/>
          <w:tab w:val="left" w:pos="1008"/>
        </w:tabs>
        <w:adjustRightInd w:val="0"/>
        <w:snapToGrid w:val="0"/>
        <w:spacing w:beforeLines="50" w:before="250"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随着国际技术市场的发展，提成率的大小已趋于一个规范的数值，联合国贸易发展组织（</w:t>
      </w:r>
      <w:r w:rsidRPr="00A214B0">
        <w:rPr>
          <w:rFonts w:ascii="Times New Roman" w:eastAsia="宋体" w:hAnsi="Times New Roman" w:cs="Times New Roman"/>
          <w:color w:val="000000" w:themeColor="text1"/>
          <w:sz w:val="24"/>
          <w:szCs w:val="24"/>
        </w:rPr>
        <w:t>UNCTAD</w:t>
      </w:r>
      <w:r w:rsidRPr="00A214B0">
        <w:rPr>
          <w:rFonts w:ascii="Times New Roman" w:eastAsia="宋体" w:hAnsi="Times New Roman" w:cs="Times New Roman"/>
          <w:color w:val="000000" w:themeColor="text1"/>
          <w:sz w:val="24"/>
          <w:szCs w:val="24"/>
        </w:rPr>
        <w:t>）对各国技术贸易合同的提成率作了大量的调查统计，认为提成率一般在产品销价的</w:t>
      </w:r>
      <w:r w:rsidRPr="00A214B0">
        <w:rPr>
          <w:rFonts w:ascii="Times New Roman" w:eastAsia="宋体" w:hAnsi="Times New Roman" w:cs="Times New Roman"/>
          <w:color w:val="000000" w:themeColor="text1"/>
          <w:sz w:val="24"/>
          <w:szCs w:val="24"/>
        </w:rPr>
        <w:t>0.5%-10%</w:t>
      </w:r>
      <w:r w:rsidRPr="00A214B0">
        <w:rPr>
          <w:rFonts w:ascii="Times New Roman" w:eastAsia="宋体" w:hAnsi="Times New Roman" w:cs="Times New Roman"/>
          <w:color w:val="000000" w:themeColor="text1"/>
          <w:sz w:val="24"/>
          <w:szCs w:val="24"/>
        </w:rPr>
        <w:t>之间，绝大多数是按</w:t>
      </w:r>
      <w:r w:rsidRPr="00A214B0">
        <w:rPr>
          <w:rFonts w:ascii="Times New Roman" w:eastAsia="宋体" w:hAnsi="Times New Roman" w:cs="Times New Roman"/>
          <w:color w:val="000000" w:themeColor="text1"/>
          <w:sz w:val="24"/>
          <w:szCs w:val="24"/>
        </w:rPr>
        <w:t>2%-7%</w:t>
      </w:r>
      <w:r w:rsidRPr="00A214B0">
        <w:rPr>
          <w:rFonts w:ascii="Times New Roman" w:eastAsia="宋体" w:hAnsi="Times New Roman" w:cs="Times New Roman"/>
          <w:color w:val="000000" w:themeColor="text1"/>
          <w:sz w:val="24"/>
          <w:szCs w:val="24"/>
        </w:rPr>
        <w:t>提成，而且行业特征十分明显，机械制造业为</w:t>
      </w:r>
      <w:r w:rsidRPr="00A214B0">
        <w:rPr>
          <w:rFonts w:ascii="Times New Roman" w:eastAsia="宋体" w:hAnsi="Times New Roman" w:cs="Times New Roman"/>
          <w:color w:val="000000" w:themeColor="text1"/>
          <w:sz w:val="24"/>
          <w:szCs w:val="24"/>
        </w:rPr>
        <w:t>1.5%-3%</w:t>
      </w:r>
      <w:r w:rsidRPr="00A214B0">
        <w:rPr>
          <w:rFonts w:ascii="Times New Roman" w:eastAsia="宋体" w:hAnsi="Times New Roman" w:cs="Times New Roman"/>
          <w:color w:val="000000" w:themeColor="text1"/>
          <w:sz w:val="24"/>
          <w:szCs w:val="24"/>
        </w:rPr>
        <w:t>，电器行业为</w:t>
      </w:r>
      <w:r w:rsidRPr="00A214B0">
        <w:rPr>
          <w:rFonts w:ascii="Times New Roman" w:eastAsia="宋体" w:hAnsi="Times New Roman" w:cs="Times New Roman"/>
          <w:color w:val="000000" w:themeColor="text1"/>
          <w:sz w:val="24"/>
          <w:szCs w:val="24"/>
        </w:rPr>
        <w:t>3%-4%</w:t>
      </w:r>
      <w:r w:rsidRPr="00A214B0">
        <w:rPr>
          <w:rFonts w:ascii="Times New Roman" w:eastAsia="宋体" w:hAnsi="Times New Roman" w:cs="Times New Roman"/>
          <w:color w:val="000000" w:themeColor="text1"/>
          <w:sz w:val="24"/>
          <w:szCs w:val="24"/>
        </w:rPr>
        <w:t>，光学电子产品为</w:t>
      </w:r>
      <w:r w:rsidRPr="00A214B0">
        <w:rPr>
          <w:rFonts w:ascii="Times New Roman" w:eastAsia="宋体" w:hAnsi="Times New Roman" w:cs="Times New Roman"/>
          <w:color w:val="000000" w:themeColor="text1"/>
          <w:sz w:val="24"/>
          <w:szCs w:val="24"/>
        </w:rPr>
        <w:t>7%-10%</w:t>
      </w:r>
      <w:r w:rsidRPr="00A214B0">
        <w:rPr>
          <w:rFonts w:ascii="Times New Roman" w:eastAsia="宋体" w:hAnsi="Times New Roman" w:cs="Times New Roman"/>
          <w:color w:val="000000" w:themeColor="text1"/>
          <w:sz w:val="24"/>
          <w:szCs w:val="24"/>
        </w:rPr>
        <w:t>。在我国技术引进实践中，一般在</w:t>
      </w:r>
      <w:r w:rsidRPr="00A214B0">
        <w:rPr>
          <w:rFonts w:ascii="Times New Roman" w:eastAsia="宋体" w:hAnsi="Times New Roman" w:cs="Times New Roman"/>
          <w:color w:val="000000" w:themeColor="text1"/>
          <w:sz w:val="24"/>
          <w:szCs w:val="24"/>
        </w:rPr>
        <w:t>5%</w:t>
      </w:r>
      <w:r w:rsidRPr="00A214B0">
        <w:rPr>
          <w:rFonts w:ascii="Times New Roman" w:eastAsia="宋体" w:hAnsi="Times New Roman" w:cs="Times New Roman"/>
          <w:color w:val="000000" w:themeColor="text1"/>
          <w:sz w:val="24"/>
          <w:szCs w:val="24"/>
        </w:rPr>
        <w:t>以内。</w:t>
      </w:r>
      <w:r w:rsidRPr="00A214B0">
        <w:rPr>
          <w:rFonts w:ascii="Times New Roman" w:eastAsia="宋体" w:hAnsi="Times New Roman" w:cs="Times New Roman"/>
          <w:color w:val="000000" w:themeColor="text1"/>
          <w:sz w:val="24"/>
          <w:szCs w:val="24"/>
        </w:rPr>
        <w:t xml:space="preserve"> </w:t>
      </w:r>
      <w:bookmarkStart w:id="82" w:name="_Hlk534983834"/>
      <w:bookmarkStart w:id="83" w:name="_Hlk534983994"/>
      <w:r w:rsidRPr="00A214B0">
        <w:rPr>
          <w:rFonts w:ascii="Times New Roman" w:eastAsia="宋体" w:hAnsi="Times New Roman" w:cs="Times New Roman"/>
          <w:color w:val="000000" w:themeColor="text1"/>
          <w:sz w:val="24"/>
          <w:szCs w:val="24"/>
        </w:rPr>
        <w:t>为全面研究和探讨我国各行业技术提成率的规律，为国内技术评估界提供参考依据，我国有关单位通过对全国</w:t>
      </w:r>
      <w:r w:rsidRPr="00A214B0">
        <w:rPr>
          <w:rFonts w:ascii="Times New Roman" w:eastAsia="宋体" w:hAnsi="Times New Roman" w:cs="Times New Roman"/>
          <w:color w:val="000000" w:themeColor="text1"/>
          <w:sz w:val="24"/>
          <w:szCs w:val="24"/>
        </w:rPr>
        <w:t>672</w:t>
      </w:r>
      <w:r w:rsidRPr="00A214B0">
        <w:rPr>
          <w:rFonts w:ascii="Times New Roman" w:eastAsia="宋体" w:hAnsi="Times New Roman" w:cs="Times New Roman"/>
          <w:color w:val="000000" w:themeColor="text1"/>
          <w:sz w:val="24"/>
          <w:szCs w:val="24"/>
        </w:rPr>
        <w:t>个行业</w:t>
      </w:r>
      <w:r w:rsidRPr="00A214B0">
        <w:rPr>
          <w:rFonts w:ascii="Times New Roman" w:eastAsia="宋体" w:hAnsi="Times New Roman" w:cs="Times New Roman"/>
          <w:color w:val="000000" w:themeColor="text1"/>
          <w:sz w:val="24"/>
          <w:szCs w:val="24"/>
        </w:rPr>
        <w:t>44</w:t>
      </w:r>
      <w:r w:rsidRPr="00A214B0">
        <w:rPr>
          <w:rFonts w:ascii="Times New Roman" w:eastAsia="宋体" w:hAnsi="Times New Roman" w:cs="Times New Roman"/>
          <w:color w:val="000000" w:themeColor="text1"/>
          <w:sz w:val="24"/>
          <w:szCs w:val="24"/>
        </w:rPr>
        <w:t>万家企业的调查分析，测算了国内各行业技术销售收入提成率，并在实际评估工作中进行了试用，证明比较符合实际。</w:t>
      </w:r>
      <w:bookmarkEnd w:id="82"/>
    </w:p>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国内工业行业</w:t>
      </w:r>
      <w:r w:rsidRPr="00A214B0">
        <w:rPr>
          <w:color w:val="000000" w:themeColor="text1"/>
          <w:sz w:val="18"/>
          <w:szCs w:val="18"/>
          <w:lang w:val="en-US"/>
        </w:rPr>
        <w:t>(</w:t>
      </w:r>
      <w:r w:rsidRPr="00A214B0">
        <w:rPr>
          <w:color w:val="000000" w:themeColor="text1"/>
          <w:sz w:val="18"/>
          <w:szCs w:val="18"/>
          <w:lang w:val="en-US"/>
        </w:rPr>
        <w:t>销售收入</w:t>
      </w:r>
      <w:r w:rsidRPr="00A214B0">
        <w:rPr>
          <w:color w:val="000000" w:themeColor="text1"/>
          <w:sz w:val="18"/>
          <w:szCs w:val="18"/>
          <w:lang w:val="en-US"/>
        </w:rPr>
        <w:t>)</w:t>
      </w:r>
      <w:r w:rsidRPr="00A214B0">
        <w:rPr>
          <w:color w:val="000000" w:themeColor="text1"/>
          <w:sz w:val="18"/>
          <w:szCs w:val="18"/>
          <w:lang w:val="en-US"/>
        </w:rPr>
        <w:t>技术提成率参考数值表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7"/>
        <w:gridCol w:w="1663"/>
        <w:gridCol w:w="2768"/>
        <w:gridCol w:w="1664"/>
      </w:tblGrid>
      <w:tr w:rsidR="00D56508" w:rsidRPr="00A214B0">
        <w:trPr>
          <w:cantSplit/>
          <w:trHeight w:val="323"/>
          <w:tblHeader/>
        </w:trPr>
        <w:tc>
          <w:tcPr>
            <w:tcW w:w="2427" w:type="dxa"/>
            <w:tcBorders>
              <w:tl2br w:val="nil"/>
              <w:tr2bl w:val="nil"/>
            </w:tcBorders>
            <w:shd w:val="clear" w:color="auto" w:fill="auto"/>
            <w:noWrap/>
            <w:vAlign w:val="center"/>
          </w:tcPr>
          <w:p w:rsidR="00D56508" w:rsidRPr="00A214B0" w:rsidRDefault="00F1265B">
            <w:pPr>
              <w:pStyle w:val="a1"/>
              <w:jc w:val="center"/>
              <w:rPr>
                <w:b/>
                <w:bCs/>
                <w:color w:val="000000" w:themeColor="text1"/>
                <w:sz w:val="18"/>
                <w:szCs w:val="18"/>
                <w:lang w:val="en-US"/>
              </w:rPr>
            </w:pPr>
            <w:r w:rsidRPr="00A214B0">
              <w:rPr>
                <w:b/>
                <w:bCs/>
                <w:color w:val="000000" w:themeColor="text1"/>
                <w:sz w:val="18"/>
                <w:szCs w:val="18"/>
                <w:lang w:val="en-US"/>
              </w:rPr>
              <w:t>行业</w:t>
            </w:r>
          </w:p>
        </w:tc>
        <w:tc>
          <w:tcPr>
            <w:tcW w:w="1663" w:type="dxa"/>
            <w:tcBorders>
              <w:tl2br w:val="nil"/>
              <w:tr2bl w:val="nil"/>
            </w:tcBorders>
            <w:shd w:val="clear" w:color="auto" w:fill="auto"/>
            <w:noWrap/>
            <w:vAlign w:val="center"/>
          </w:tcPr>
          <w:p w:rsidR="00D56508" w:rsidRPr="00A214B0" w:rsidRDefault="00F1265B">
            <w:pPr>
              <w:pStyle w:val="a1"/>
              <w:jc w:val="center"/>
              <w:rPr>
                <w:b/>
                <w:bCs/>
                <w:color w:val="000000" w:themeColor="text1"/>
                <w:sz w:val="18"/>
                <w:szCs w:val="18"/>
                <w:lang w:val="en-US"/>
              </w:rPr>
            </w:pPr>
            <w:r w:rsidRPr="00A214B0">
              <w:rPr>
                <w:b/>
                <w:bCs/>
                <w:color w:val="000000" w:themeColor="text1"/>
                <w:sz w:val="18"/>
                <w:szCs w:val="18"/>
                <w:lang w:val="en-US"/>
              </w:rPr>
              <w:t>Β(%)</w:t>
            </w:r>
            <w:r w:rsidRPr="00A214B0">
              <w:rPr>
                <w:b/>
                <w:bCs/>
                <w:color w:val="000000" w:themeColor="text1"/>
                <w:sz w:val="18"/>
                <w:szCs w:val="18"/>
                <w:lang w:val="en-US"/>
              </w:rPr>
              <w:t>值</w:t>
            </w:r>
          </w:p>
        </w:tc>
        <w:tc>
          <w:tcPr>
            <w:tcW w:w="2768" w:type="dxa"/>
            <w:tcBorders>
              <w:tl2br w:val="nil"/>
              <w:tr2bl w:val="nil"/>
            </w:tcBorders>
            <w:shd w:val="clear" w:color="auto" w:fill="auto"/>
            <w:noWrap/>
            <w:vAlign w:val="center"/>
          </w:tcPr>
          <w:p w:rsidR="00D56508" w:rsidRPr="00A214B0" w:rsidRDefault="00F1265B">
            <w:pPr>
              <w:pStyle w:val="a1"/>
              <w:jc w:val="center"/>
              <w:rPr>
                <w:b/>
                <w:bCs/>
                <w:color w:val="000000" w:themeColor="text1"/>
                <w:sz w:val="18"/>
                <w:szCs w:val="18"/>
                <w:lang w:val="en-US"/>
              </w:rPr>
            </w:pPr>
            <w:r w:rsidRPr="00A214B0">
              <w:rPr>
                <w:b/>
                <w:bCs/>
                <w:color w:val="000000" w:themeColor="text1"/>
                <w:sz w:val="18"/>
                <w:szCs w:val="18"/>
                <w:lang w:val="en-US"/>
              </w:rPr>
              <w:t>行业</w:t>
            </w:r>
          </w:p>
        </w:tc>
        <w:tc>
          <w:tcPr>
            <w:tcW w:w="1664" w:type="dxa"/>
            <w:tcBorders>
              <w:tl2br w:val="nil"/>
              <w:tr2bl w:val="nil"/>
            </w:tcBorders>
            <w:shd w:val="clear" w:color="auto" w:fill="auto"/>
            <w:noWrap/>
            <w:vAlign w:val="center"/>
          </w:tcPr>
          <w:p w:rsidR="00D56508" w:rsidRPr="00A214B0" w:rsidRDefault="00F1265B">
            <w:pPr>
              <w:pStyle w:val="a1"/>
              <w:jc w:val="center"/>
              <w:rPr>
                <w:b/>
                <w:bCs/>
                <w:color w:val="000000" w:themeColor="text1"/>
                <w:sz w:val="18"/>
                <w:szCs w:val="18"/>
                <w:lang w:val="en-US"/>
              </w:rPr>
            </w:pPr>
            <w:r w:rsidRPr="00A214B0">
              <w:rPr>
                <w:b/>
                <w:bCs/>
                <w:color w:val="000000" w:themeColor="text1"/>
                <w:sz w:val="18"/>
                <w:szCs w:val="18"/>
                <w:lang w:val="en-US"/>
              </w:rPr>
              <w:t>Β(%)</w:t>
            </w:r>
            <w:r w:rsidRPr="00A214B0">
              <w:rPr>
                <w:b/>
                <w:bCs/>
                <w:color w:val="000000" w:themeColor="text1"/>
                <w:sz w:val="18"/>
                <w:szCs w:val="18"/>
                <w:lang w:val="en-US"/>
              </w:rPr>
              <w:t>值</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有制工业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0.47-1.42</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集体所有制工业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0.51-1.52</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全民与集体全营工业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0.60-1.79</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轻工业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0.37-1.12</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重工业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0.60-1.80</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煤炭采选业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石油和天然气开采业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黑色金属矿采选业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1.17-3.50</w:t>
            </w:r>
          </w:p>
        </w:tc>
      </w:tr>
      <w:tr w:rsidR="00D56508" w:rsidRPr="00A214B0">
        <w:trPr>
          <w:cantSplit/>
          <w:trHeight w:val="415"/>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有色金属矿采选业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1.12-3.37</w:t>
            </w:r>
          </w:p>
        </w:tc>
        <w:tc>
          <w:tcPr>
            <w:tcW w:w="2768" w:type="dxa"/>
            <w:tcBorders>
              <w:tl2br w:val="nil"/>
              <w:tr2bl w:val="nil"/>
            </w:tcBorders>
            <w:shd w:val="clear" w:color="auto" w:fill="auto"/>
            <w:noWrap/>
            <w:vAlign w:val="center"/>
          </w:tcPr>
          <w:p w:rsidR="00D56508" w:rsidRPr="00A214B0" w:rsidRDefault="00F1265B">
            <w:pPr>
              <w:pStyle w:val="a1"/>
              <w:ind w:firstLine="0"/>
              <w:jc w:val="center"/>
              <w:rPr>
                <w:color w:val="000000" w:themeColor="text1"/>
                <w:sz w:val="18"/>
                <w:szCs w:val="18"/>
                <w:lang w:val="en-US"/>
              </w:rPr>
            </w:pPr>
            <w:r w:rsidRPr="00A214B0">
              <w:rPr>
                <w:color w:val="000000" w:themeColor="text1"/>
                <w:sz w:val="18"/>
                <w:szCs w:val="18"/>
                <w:lang w:val="en-US"/>
              </w:rPr>
              <w:t>建筑材料及其他非金属矿采选业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0.97-2.90</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采盐业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1.42-4.27</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其他矿采选业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1.31-7.92</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木材及竹材采运业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1.74-5.21</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自来水生产和供应业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1.66-4.97</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食品制造业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0.16-0.47</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饮料制造业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0.51-1.53</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烟草加工业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饲料工业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0.28-0.84</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纺织业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0.19-0.58</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缝纫业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0.44-1.32</w:t>
            </w:r>
          </w:p>
        </w:tc>
      </w:tr>
      <w:tr w:rsidR="00D56508" w:rsidRPr="00A214B0">
        <w:trPr>
          <w:cantSplit/>
          <w:trHeight w:val="400"/>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皮革、毛坯及其制造业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0.26-0.79</w:t>
            </w:r>
          </w:p>
        </w:tc>
        <w:tc>
          <w:tcPr>
            <w:tcW w:w="2768" w:type="dxa"/>
            <w:tcBorders>
              <w:tl2br w:val="nil"/>
              <w:tr2bl w:val="nil"/>
            </w:tcBorders>
            <w:shd w:val="clear" w:color="auto" w:fill="auto"/>
            <w:noWrap/>
            <w:vAlign w:val="center"/>
          </w:tcPr>
          <w:p w:rsidR="00D56508" w:rsidRPr="00A214B0" w:rsidRDefault="00F1265B">
            <w:pPr>
              <w:pStyle w:val="a1"/>
              <w:ind w:firstLine="0"/>
              <w:jc w:val="center"/>
              <w:rPr>
                <w:color w:val="000000" w:themeColor="text1"/>
                <w:sz w:val="18"/>
                <w:szCs w:val="18"/>
                <w:lang w:val="en-US"/>
              </w:rPr>
            </w:pPr>
            <w:r w:rsidRPr="00A214B0">
              <w:rPr>
                <w:color w:val="000000" w:themeColor="text1"/>
                <w:sz w:val="18"/>
                <w:szCs w:val="18"/>
                <w:lang w:val="en-US"/>
              </w:rPr>
              <w:t>木材加工及竹、藤、棕、草制品业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0.24-0.71</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家具制造业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0.40-1.20</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造纸机纸制品业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0.40-1.20</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印刷业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0.99-2.98</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文教体育用品制造业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0.64-1.92</w:t>
            </w:r>
          </w:p>
        </w:tc>
      </w:tr>
      <w:tr w:rsidR="00D56508" w:rsidRPr="00A214B0">
        <w:trPr>
          <w:cantSplit/>
          <w:trHeight w:val="635"/>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工艺美术品制造业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0.45-1.34</w:t>
            </w:r>
          </w:p>
        </w:tc>
        <w:tc>
          <w:tcPr>
            <w:tcW w:w="2768" w:type="dxa"/>
            <w:tcBorders>
              <w:tl2br w:val="nil"/>
              <w:tr2bl w:val="nil"/>
            </w:tcBorders>
            <w:shd w:val="clear" w:color="auto" w:fill="auto"/>
            <w:noWrap/>
            <w:vAlign w:val="center"/>
          </w:tcPr>
          <w:p w:rsidR="00D56508" w:rsidRPr="00A214B0" w:rsidRDefault="00F1265B">
            <w:pPr>
              <w:pStyle w:val="a1"/>
              <w:ind w:firstLine="0"/>
              <w:jc w:val="center"/>
              <w:rPr>
                <w:color w:val="000000" w:themeColor="text1"/>
                <w:sz w:val="18"/>
                <w:szCs w:val="18"/>
                <w:lang w:val="en-US"/>
              </w:rPr>
            </w:pPr>
            <w:r w:rsidRPr="00A214B0">
              <w:rPr>
                <w:color w:val="000000" w:themeColor="text1"/>
                <w:sz w:val="18"/>
                <w:szCs w:val="18"/>
                <w:lang w:val="en-US"/>
              </w:rPr>
              <w:t>电力、蒸汽、热水生产和供应业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0.99-2.97</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石油加工业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0.50-1.50</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蓄电池制造业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0.95-2.84</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化学工业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0.51-1.54</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医药工业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0.99-2.97</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化学纤维业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0.98-2.93</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橡胶制品业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0.49-1.47</w:t>
            </w:r>
          </w:p>
        </w:tc>
      </w:tr>
      <w:tr w:rsidR="00D56508" w:rsidRPr="00A214B0">
        <w:trPr>
          <w:cantSplit/>
          <w:trHeight w:val="370"/>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塑料制品业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0.47-1.42</w:t>
            </w:r>
          </w:p>
        </w:tc>
        <w:tc>
          <w:tcPr>
            <w:tcW w:w="2768" w:type="dxa"/>
            <w:tcBorders>
              <w:tl2br w:val="nil"/>
              <w:tr2bl w:val="nil"/>
            </w:tcBorders>
            <w:shd w:val="clear" w:color="auto" w:fill="auto"/>
            <w:noWrap/>
            <w:vAlign w:val="center"/>
          </w:tcPr>
          <w:p w:rsidR="00D56508" w:rsidRPr="00A214B0" w:rsidRDefault="00F1265B">
            <w:pPr>
              <w:pStyle w:val="a1"/>
              <w:ind w:firstLine="0"/>
              <w:jc w:val="center"/>
              <w:rPr>
                <w:color w:val="000000" w:themeColor="text1"/>
                <w:sz w:val="18"/>
                <w:szCs w:val="18"/>
                <w:lang w:val="en-US"/>
              </w:rPr>
            </w:pPr>
            <w:r w:rsidRPr="00A214B0">
              <w:rPr>
                <w:color w:val="000000" w:themeColor="text1"/>
                <w:sz w:val="18"/>
                <w:szCs w:val="18"/>
                <w:lang w:val="en-US"/>
              </w:rPr>
              <w:t>建筑材料及其他非金属矿物制品业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0.79-2.36</w:t>
            </w:r>
          </w:p>
        </w:tc>
      </w:tr>
      <w:tr w:rsidR="00D56508" w:rsidRPr="00A214B0">
        <w:trPr>
          <w:cantSplit/>
          <w:trHeight w:val="415"/>
        </w:trPr>
        <w:tc>
          <w:tcPr>
            <w:tcW w:w="2427" w:type="dxa"/>
            <w:tcBorders>
              <w:tl2br w:val="nil"/>
              <w:tr2bl w:val="nil"/>
            </w:tcBorders>
            <w:shd w:val="clear" w:color="auto" w:fill="auto"/>
            <w:noWrap/>
            <w:vAlign w:val="center"/>
          </w:tcPr>
          <w:p w:rsidR="00D56508" w:rsidRPr="00A214B0" w:rsidRDefault="00F1265B">
            <w:pPr>
              <w:pStyle w:val="a1"/>
              <w:ind w:firstLine="0"/>
              <w:rPr>
                <w:color w:val="000000" w:themeColor="text1"/>
                <w:sz w:val="18"/>
                <w:szCs w:val="18"/>
                <w:lang w:val="en-US"/>
              </w:rPr>
            </w:pPr>
            <w:r w:rsidRPr="00A214B0">
              <w:rPr>
                <w:color w:val="000000" w:themeColor="text1"/>
                <w:sz w:val="18"/>
                <w:szCs w:val="18"/>
                <w:lang w:val="en-US"/>
              </w:rPr>
              <w:t>黑色金属冶炼及压延加工业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0.67-2.01</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有色金属冶炼及压延加工业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0.61-1.84</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金属制品业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0.56-1.67</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机械工业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0.65-1.94</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通用设备制造业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0.83-2.48</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通用零部件制造业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0.79-2.38</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铸锻毛坯制造业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0.56-1.67</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工业专业设备制造业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0.77-2.32</w:t>
            </w:r>
          </w:p>
        </w:tc>
      </w:tr>
      <w:tr w:rsidR="00D56508" w:rsidRPr="00A214B0">
        <w:trPr>
          <w:cantSplit/>
          <w:trHeight w:val="635"/>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农、林、牧、渔业机械制造业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0.45-1.34</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交通运输设备制造业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0.83-2.49</w:t>
            </w:r>
          </w:p>
        </w:tc>
      </w:tr>
      <w:tr w:rsidR="00D56508" w:rsidRPr="00A214B0">
        <w:trPr>
          <w:cantSplit/>
          <w:trHeight w:val="322"/>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电器机构器材制造业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0.56-1.67</w:t>
            </w:r>
          </w:p>
        </w:tc>
        <w:tc>
          <w:tcPr>
            <w:tcW w:w="2768"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电子及通信设备制造业</w:t>
            </w:r>
          </w:p>
        </w:tc>
        <w:tc>
          <w:tcPr>
            <w:tcW w:w="1664"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0.53-1.59</w:t>
            </w:r>
          </w:p>
        </w:tc>
      </w:tr>
      <w:tr w:rsidR="00D56508" w:rsidRPr="00A214B0">
        <w:trPr>
          <w:cantSplit/>
          <w:trHeight w:val="334"/>
        </w:trPr>
        <w:tc>
          <w:tcPr>
            <w:tcW w:w="2427"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其他工业</w:t>
            </w:r>
          </w:p>
        </w:tc>
        <w:tc>
          <w:tcPr>
            <w:tcW w:w="1663" w:type="dxa"/>
            <w:tcBorders>
              <w:tl2br w:val="nil"/>
              <w:tr2bl w:val="nil"/>
            </w:tcBorders>
            <w:shd w:val="clear" w:color="auto" w:fill="auto"/>
            <w:noWrap/>
            <w:vAlign w:val="center"/>
          </w:tcPr>
          <w:p w:rsidR="00D56508" w:rsidRPr="00A214B0" w:rsidRDefault="00F1265B">
            <w:pPr>
              <w:pStyle w:val="a1"/>
              <w:jc w:val="center"/>
              <w:rPr>
                <w:color w:val="000000" w:themeColor="text1"/>
                <w:sz w:val="18"/>
                <w:szCs w:val="18"/>
                <w:lang w:val="en-US"/>
              </w:rPr>
            </w:pPr>
            <w:r w:rsidRPr="00A214B0">
              <w:rPr>
                <w:color w:val="000000" w:themeColor="text1"/>
                <w:sz w:val="18"/>
                <w:szCs w:val="18"/>
                <w:lang w:val="en-US"/>
              </w:rPr>
              <w:t>0.54-1.61</w:t>
            </w:r>
          </w:p>
        </w:tc>
        <w:tc>
          <w:tcPr>
            <w:tcW w:w="2768" w:type="dxa"/>
            <w:tcBorders>
              <w:tl2br w:val="nil"/>
              <w:tr2bl w:val="nil"/>
            </w:tcBorders>
            <w:shd w:val="clear" w:color="auto" w:fill="auto"/>
            <w:noWrap/>
            <w:vAlign w:val="center"/>
          </w:tcPr>
          <w:p w:rsidR="00D56508" w:rsidRPr="00A214B0" w:rsidRDefault="00D56508">
            <w:pPr>
              <w:pStyle w:val="a1"/>
              <w:jc w:val="center"/>
              <w:rPr>
                <w:color w:val="000000" w:themeColor="text1"/>
                <w:sz w:val="18"/>
                <w:szCs w:val="18"/>
                <w:lang w:val="en-US"/>
              </w:rPr>
            </w:pPr>
          </w:p>
        </w:tc>
        <w:tc>
          <w:tcPr>
            <w:tcW w:w="1664" w:type="dxa"/>
            <w:tcBorders>
              <w:tl2br w:val="nil"/>
              <w:tr2bl w:val="nil"/>
            </w:tcBorders>
            <w:shd w:val="clear" w:color="auto" w:fill="auto"/>
            <w:noWrap/>
            <w:vAlign w:val="center"/>
          </w:tcPr>
          <w:p w:rsidR="00D56508" w:rsidRPr="00A214B0" w:rsidRDefault="00D56508">
            <w:pPr>
              <w:pStyle w:val="a1"/>
              <w:jc w:val="center"/>
              <w:rPr>
                <w:color w:val="000000" w:themeColor="text1"/>
                <w:sz w:val="18"/>
                <w:szCs w:val="18"/>
                <w:lang w:val="en-US"/>
              </w:rPr>
            </w:pPr>
          </w:p>
        </w:tc>
      </w:tr>
    </w:tbl>
    <w:bookmarkEnd w:id="83"/>
    <w:p w:rsidR="00D56508" w:rsidRPr="00A214B0" w:rsidRDefault="00F1265B">
      <w:pPr>
        <w:tabs>
          <w:tab w:val="left" w:pos="910"/>
          <w:tab w:val="left" w:pos="980"/>
          <w:tab w:val="left" w:pos="1008"/>
        </w:tabs>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被评估单位属于化工行业，故分成率上限取</w:t>
      </w:r>
      <w:r w:rsidRPr="00A214B0">
        <w:rPr>
          <w:rFonts w:ascii="Times New Roman" w:hAnsi="Times New Roman" w:cs="Times New Roman"/>
          <w:color w:val="000000" w:themeColor="text1"/>
          <w:sz w:val="24"/>
          <w:szCs w:val="24"/>
        </w:rPr>
        <w:t>1.54%</w:t>
      </w:r>
      <w:r w:rsidRPr="00A214B0">
        <w:rPr>
          <w:rFonts w:ascii="Times New Roman" w:hAnsi="Times New Roman" w:cs="Times New Roman"/>
          <w:color w:val="000000" w:themeColor="text1"/>
          <w:sz w:val="24"/>
          <w:szCs w:val="24"/>
        </w:rPr>
        <w:t>，下限</w:t>
      </w:r>
      <w:r w:rsidRPr="00A214B0">
        <w:rPr>
          <w:rFonts w:ascii="Times New Roman" w:hAnsi="Times New Roman" w:cs="Times New Roman"/>
          <w:color w:val="000000" w:themeColor="text1"/>
          <w:sz w:val="24"/>
          <w:szCs w:val="24"/>
        </w:rPr>
        <w:t>0.51%</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分成率的调整系数从技术水平、成熟程度、实施条件、经济效益、保护力度、行业地位及其他等七项参考因素对纳入本次评估范围的专利权进行评价，以此确定分成率的调整系数见下表：</w:t>
      </w:r>
    </w:p>
    <w:p w:rsidR="00D56508" w:rsidRPr="00A214B0" w:rsidRDefault="00D56508">
      <w:pPr>
        <w:pStyle w:val="a1"/>
        <w:rPr>
          <w:color w:val="000000" w:themeColor="text1"/>
        </w:rPr>
      </w:pPr>
    </w:p>
    <w:p w:rsidR="00D56508" w:rsidRPr="00A214B0" w:rsidRDefault="00F1265B">
      <w:pPr>
        <w:adjustRightInd w:val="0"/>
        <w:snapToGrid w:val="0"/>
        <w:spacing w:line="360" w:lineRule="auto"/>
        <w:ind w:firstLineChars="200" w:firstLine="360"/>
        <w:jc w:val="center"/>
        <w:rPr>
          <w:rFonts w:ascii="Times New Roman" w:hAnsi="Times New Roman" w:cs="Times New Roman"/>
          <w:color w:val="000000" w:themeColor="text1"/>
          <w:sz w:val="18"/>
          <w:szCs w:val="15"/>
        </w:rPr>
      </w:pPr>
      <w:r w:rsidRPr="00A214B0">
        <w:rPr>
          <w:rFonts w:ascii="Times New Roman" w:hAnsi="Times New Roman" w:cs="Times New Roman"/>
          <w:color w:val="000000" w:themeColor="text1"/>
          <w:sz w:val="18"/>
          <w:szCs w:val="15"/>
        </w:rPr>
        <w:t>专利权技术分析评分表</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2397"/>
        <w:gridCol w:w="1596"/>
        <w:gridCol w:w="2062"/>
        <w:gridCol w:w="1228"/>
        <w:gridCol w:w="1053"/>
      </w:tblGrid>
      <w:tr w:rsidR="00D56508" w:rsidRPr="00A214B0">
        <w:trPr>
          <w:trHeight w:val="450"/>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b/>
                <w:bCs/>
                <w:color w:val="000000" w:themeColor="text1"/>
                <w:sz w:val="20"/>
                <w:szCs w:val="20"/>
              </w:rPr>
            </w:pPr>
            <w:r w:rsidRPr="00A214B0">
              <w:rPr>
                <w:rFonts w:ascii="Times New Roman" w:eastAsia="宋体" w:hAnsi="Times New Roman" w:cs="Times New Roman"/>
                <w:b/>
                <w:bCs/>
                <w:color w:val="000000" w:themeColor="text1"/>
                <w:kern w:val="0"/>
                <w:sz w:val="20"/>
                <w:szCs w:val="20"/>
                <w:lang w:bidi="ar"/>
              </w:rPr>
              <w:t>评价因素</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b/>
                <w:bCs/>
                <w:color w:val="000000" w:themeColor="text1"/>
                <w:sz w:val="20"/>
                <w:szCs w:val="20"/>
              </w:rPr>
            </w:pPr>
            <w:r w:rsidRPr="00A214B0">
              <w:rPr>
                <w:rFonts w:ascii="Times New Roman" w:eastAsia="宋体" w:hAnsi="Times New Roman" w:cs="Times New Roman"/>
                <w:b/>
                <w:bCs/>
                <w:color w:val="000000" w:themeColor="text1"/>
                <w:kern w:val="0"/>
                <w:sz w:val="20"/>
                <w:szCs w:val="20"/>
                <w:lang w:bidi="ar"/>
              </w:rPr>
              <w:t>权重（</w:t>
            </w:r>
            <w:r w:rsidRPr="00A214B0">
              <w:rPr>
                <w:rFonts w:ascii="Times New Roman" w:eastAsia="Tahoma" w:hAnsi="Times New Roman" w:cs="Times New Roman"/>
                <w:b/>
                <w:bCs/>
                <w:color w:val="000000" w:themeColor="text1"/>
                <w:kern w:val="0"/>
                <w:sz w:val="20"/>
                <w:szCs w:val="20"/>
                <w:lang w:bidi="ar"/>
              </w:rPr>
              <w:t>%</w:t>
            </w:r>
            <w:r w:rsidRPr="00A214B0">
              <w:rPr>
                <w:rFonts w:ascii="Times New Roman" w:eastAsia="宋体" w:hAnsi="Times New Roman" w:cs="Times New Roman"/>
                <w:b/>
                <w:bCs/>
                <w:color w:val="000000" w:themeColor="text1"/>
                <w:kern w:val="0"/>
                <w:sz w:val="20"/>
                <w:szCs w:val="20"/>
                <w:lang w:bidi="ar"/>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宋体" w:hAnsi="Times New Roman" w:cs="Times New Roman"/>
                <w:b/>
                <w:bCs/>
                <w:color w:val="000000" w:themeColor="text1"/>
                <w:sz w:val="20"/>
                <w:szCs w:val="20"/>
              </w:rPr>
            </w:pPr>
            <w:r w:rsidRPr="00A214B0">
              <w:rPr>
                <w:rFonts w:ascii="Times New Roman" w:eastAsia="宋体" w:hAnsi="Times New Roman" w:cs="Times New Roman"/>
                <w:b/>
                <w:bCs/>
                <w:color w:val="000000" w:themeColor="text1"/>
                <w:kern w:val="0"/>
                <w:sz w:val="20"/>
                <w:szCs w:val="20"/>
                <w:lang w:bidi="ar"/>
              </w:rPr>
              <w:t>评分值范围</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宋体" w:hAnsi="Times New Roman" w:cs="Times New Roman"/>
                <w:b/>
                <w:bCs/>
                <w:color w:val="000000" w:themeColor="text1"/>
                <w:sz w:val="20"/>
                <w:szCs w:val="20"/>
              </w:rPr>
            </w:pPr>
            <w:r w:rsidRPr="00A214B0">
              <w:rPr>
                <w:rFonts w:ascii="Times New Roman" w:eastAsia="宋体" w:hAnsi="Times New Roman" w:cs="Times New Roman"/>
                <w:b/>
                <w:bCs/>
                <w:color w:val="000000" w:themeColor="text1"/>
                <w:kern w:val="0"/>
                <w:sz w:val="20"/>
                <w:szCs w:val="20"/>
                <w:lang w:bidi="ar"/>
              </w:rPr>
              <w:t>评分值</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宋体" w:hAnsi="Times New Roman" w:cs="Times New Roman"/>
                <w:b/>
                <w:bCs/>
                <w:color w:val="000000" w:themeColor="text1"/>
                <w:sz w:val="20"/>
                <w:szCs w:val="20"/>
              </w:rPr>
            </w:pPr>
            <w:r w:rsidRPr="00A214B0">
              <w:rPr>
                <w:rFonts w:ascii="Times New Roman" w:eastAsia="宋体" w:hAnsi="Times New Roman" w:cs="Times New Roman"/>
                <w:b/>
                <w:bCs/>
                <w:color w:val="000000" w:themeColor="text1"/>
                <w:kern w:val="0"/>
                <w:sz w:val="20"/>
                <w:szCs w:val="20"/>
                <w:lang w:bidi="ar"/>
              </w:rPr>
              <w:t>加权评分值</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法律状态</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6.6</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保护范围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9</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4.95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侵权判定</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9</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4.95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技术所属领域</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2.5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替代技术</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先进性</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2.5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创新性</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2.5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成熟度</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应用范围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技术防御力</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2.75</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供求关系</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20</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w:t>
            </w:r>
          </w:p>
        </w:tc>
      </w:tr>
      <w:tr w:rsidR="00D56508" w:rsidRPr="00A214B0">
        <w:trPr>
          <w:trHeight w:val="286"/>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sz w:val="20"/>
                <w:szCs w:val="20"/>
              </w:rPr>
            </w:pPr>
            <w:r w:rsidRPr="00A214B0">
              <w:rPr>
                <w:rFonts w:ascii="Times New Roman" w:eastAsia="宋体" w:hAnsi="Times New Roman" w:cs="Times New Roman"/>
                <w:color w:val="000000" w:themeColor="text1"/>
                <w:kern w:val="0"/>
                <w:sz w:val="20"/>
                <w:szCs w:val="20"/>
                <w:lang w:bidi="ar"/>
              </w:rPr>
              <w:t>合计</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D56508">
            <w:pPr>
              <w:rPr>
                <w:rFonts w:ascii="Times New Roman" w:eastAsia="Tahoma" w:hAnsi="Times New Roman" w:cs="Times New Roman"/>
                <w:color w:val="000000" w:themeColor="text1"/>
                <w:sz w:val="18"/>
                <w:szCs w:val="18"/>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D56508">
            <w:pPr>
              <w:rPr>
                <w:rFonts w:ascii="Times New Roman" w:eastAsia="Tahoma" w:hAnsi="Times New Roman" w:cs="Times New Roman"/>
                <w:color w:val="000000" w:themeColor="text1"/>
                <w:sz w:val="18"/>
                <w:szCs w:val="1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508" w:rsidRPr="00A214B0" w:rsidRDefault="00F1265B">
            <w:pPr>
              <w:widowControl/>
              <w:jc w:val="right"/>
              <w:textAlignment w:val="center"/>
              <w:rPr>
                <w:rFonts w:ascii="Times New Roman" w:eastAsia="Tahoma"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52.25</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由上表可得分成率调整系数</w:t>
      </w:r>
      <w:r w:rsidRPr="00A214B0">
        <w:rPr>
          <w:rFonts w:ascii="Times New Roman" w:hAnsi="Times New Roman" w:cs="Times New Roman"/>
          <w:color w:val="000000" w:themeColor="text1"/>
          <w:sz w:val="24"/>
          <w:szCs w:val="24"/>
        </w:rPr>
        <w:t>Δ=52.25%</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将</w:t>
      </w:r>
      <w:r w:rsidRPr="00A214B0">
        <w:rPr>
          <w:rFonts w:ascii="Times New Roman" w:hAnsi="Times New Roman" w:cs="Times New Roman"/>
          <w:color w:val="000000" w:themeColor="text1"/>
          <w:sz w:val="24"/>
          <w:szCs w:val="24"/>
        </w:rPr>
        <w:t>m=1.54 %</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n=0.51%</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Δ=52.25%</w:t>
      </w:r>
      <w:r w:rsidRPr="00A214B0">
        <w:rPr>
          <w:rFonts w:ascii="Times New Roman" w:hAnsi="Times New Roman" w:cs="Times New Roman"/>
          <w:color w:val="000000" w:themeColor="text1"/>
          <w:sz w:val="24"/>
          <w:szCs w:val="24"/>
        </w:rPr>
        <w:t>代入分成率计算公式，得到</w:t>
      </w:r>
      <w:r w:rsidRPr="00A214B0">
        <w:rPr>
          <w:rFonts w:ascii="Times New Roman" w:hAnsi="Times New Roman" w:cs="Times New Roman"/>
          <w:color w:val="000000" w:themeColor="text1"/>
          <w:sz w:val="24"/>
          <w:szCs w:val="24"/>
        </w:rPr>
        <w:t>K=1.05%</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在科技进步和技术升级的进程中，原有技术先进性逐渐降低，因而基准日纳入本次评估范围的专利权对应的超额收益逐渐减少，即分成率逐渐减少。通过对该等专利权对应的技术先进程度、产品经济效益及市场前景、替代技术或产品发展状况等方面的综合分析，本次评估对专利权分成率考虑一定的年衰减比率。</w:t>
      </w:r>
    </w:p>
    <w:tbl>
      <w:tblPr>
        <w:tblW w:w="9049" w:type="dxa"/>
        <w:tblLayout w:type="fixed"/>
        <w:tblLook w:val="04A0" w:firstRow="1" w:lastRow="0" w:firstColumn="1" w:lastColumn="0" w:noHBand="0" w:noVBand="1"/>
      </w:tblPr>
      <w:tblGrid>
        <w:gridCol w:w="2149"/>
        <w:gridCol w:w="1681"/>
        <w:gridCol w:w="1740"/>
        <w:gridCol w:w="1741"/>
        <w:gridCol w:w="1738"/>
      </w:tblGrid>
      <w:tr w:rsidR="00D56508" w:rsidRPr="00A214B0">
        <w:trPr>
          <w:trHeight w:val="630"/>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Cs w:val="24"/>
              </w:rPr>
            </w:pPr>
            <w:r w:rsidRPr="00A214B0">
              <w:rPr>
                <w:rFonts w:ascii="Times New Roman" w:hAnsi="Times New Roman" w:cs="Times New Roman"/>
                <w:b/>
                <w:bCs/>
                <w:color w:val="000000" w:themeColor="text1"/>
                <w:kern w:val="0"/>
                <w:szCs w:val="24"/>
              </w:rPr>
              <w:t>项目</w:t>
            </w:r>
          </w:p>
        </w:tc>
        <w:tc>
          <w:tcPr>
            <w:tcW w:w="16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 xml:space="preserve"> 201</w:t>
            </w:r>
            <w:r w:rsidRPr="00A214B0">
              <w:rPr>
                <w:rFonts w:ascii="Times New Roman" w:eastAsia="宋体" w:hAnsi="Times New Roman" w:cs="Times New Roman"/>
                <w:b/>
                <w:color w:val="000000" w:themeColor="text1"/>
                <w:kern w:val="0"/>
                <w:sz w:val="18"/>
                <w:szCs w:val="18"/>
                <w:lang w:bidi="ar"/>
              </w:rPr>
              <w:t>9</w:t>
            </w:r>
            <w:r w:rsidRPr="00A214B0">
              <w:rPr>
                <w:rFonts w:ascii="Times New Roman" w:eastAsia="Microsoft YaHei UI" w:hAnsi="Times New Roman" w:cs="Times New Roman"/>
                <w:b/>
                <w:color w:val="000000" w:themeColor="text1"/>
                <w:kern w:val="0"/>
                <w:sz w:val="18"/>
                <w:szCs w:val="18"/>
                <w:lang w:bidi="ar"/>
              </w:rPr>
              <w:t>年</w:t>
            </w:r>
            <w:r w:rsidRPr="00A214B0">
              <w:rPr>
                <w:rFonts w:ascii="Times New Roman" w:eastAsia="宋体" w:hAnsi="Times New Roman" w:cs="Times New Roman"/>
                <w:b/>
                <w:color w:val="000000" w:themeColor="text1"/>
                <w:kern w:val="0"/>
                <w:sz w:val="18"/>
                <w:szCs w:val="18"/>
                <w:lang w:bidi="ar"/>
              </w:rPr>
              <w:t>5</w:t>
            </w:r>
            <w:r w:rsidRPr="00A214B0">
              <w:rPr>
                <w:rFonts w:ascii="Times New Roman" w:eastAsia="Tahoma" w:hAnsi="Times New Roman" w:cs="Times New Roman"/>
                <w:b/>
                <w:color w:val="000000" w:themeColor="text1"/>
                <w:kern w:val="0"/>
                <w:sz w:val="18"/>
                <w:szCs w:val="18"/>
                <w:lang w:bidi="ar"/>
              </w:rPr>
              <w:t>-12</w:t>
            </w:r>
            <w:r w:rsidRPr="00A214B0">
              <w:rPr>
                <w:rFonts w:ascii="Times New Roman" w:eastAsia="Microsoft YaHei UI" w:hAnsi="Times New Roman" w:cs="Times New Roman"/>
                <w:b/>
                <w:color w:val="000000" w:themeColor="text1"/>
                <w:kern w:val="0"/>
                <w:sz w:val="18"/>
                <w:szCs w:val="18"/>
                <w:lang w:bidi="ar"/>
              </w:rPr>
              <w:t>月</w:t>
            </w:r>
          </w:p>
        </w:tc>
        <w:tc>
          <w:tcPr>
            <w:tcW w:w="174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 xml:space="preserve"> 202</w:t>
            </w:r>
            <w:r w:rsidRPr="00A214B0">
              <w:rPr>
                <w:rFonts w:ascii="Times New Roman" w:eastAsia="宋体" w:hAnsi="Times New Roman" w:cs="Times New Roman"/>
                <w:b/>
                <w:color w:val="000000" w:themeColor="text1"/>
                <w:kern w:val="0"/>
                <w:sz w:val="18"/>
                <w:szCs w:val="18"/>
                <w:lang w:bidi="ar"/>
              </w:rPr>
              <w:t>0</w:t>
            </w:r>
            <w:r w:rsidRPr="00A214B0">
              <w:rPr>
                <w:rFonts w:ascii="Times New Roman" w:eastAsia="Microsoft YaHei UI" w:hAnsi="Times New Roman" w:cs="Times New Roman"/>
                <w:b/>
                <w:color w:val="000000" w:themeColor="text1"/>
                <w:kern w:val="0"/>
                <w:sz w:val="18"/>
                <w:szCs w:val="18"/>
                <w:lang w:bidi="ar"/>
              </w:rPr>
              <w:t>年</w:t>
            </w:r>
            <w:r w:rsidRPr="00A214B0">
              <w:rPr>
                <w:rFonts w:ascii="Times New Roman" w:eastAsia="Tahoma" w:hAnsi="Times New Roman" w:cs="Times New Roman"/>
                <w:b/>
                <w:color w:val="000000" w:themeColor="text1"/>
                <w:kern w:val="0"/>
                <w:sz w:val="18"/>
                <w:szCs w:val="18"/>
                <w:lang w:bidi="ar"/>
              </w:rPr>
              <w:t xml:space="preserve"> </w:t>
            </w:r>
          </w:p>
        </w:tc>
        <w:tc>
          <w:tcPr>
            <w:tcW w:w="1741"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1</w:t>
            </w:r>
            <w:r w:rsidRPr="00A214B0">
              <w:rPr>
                <w:rFonts w:ascii="Times New Roman" w:eastAsia="Microsoft YaHei UI" w:hAnsi="Times New Roman" w:cs="Times New Roman"/>
                <w:b/>
                <w:color w:val="000000" w:themeColor="text1"/>
                <w:kern w:val="0"/>
                <w:sz w:val="18"/>
                <w:szCs w:val="18"/>
                <w:lang w:bidi="ar"/>
              </w:rPr>
              <w:t>年</w:t>
            </w:r>
          </w:p>
        </w:tc>
        <w:tc>
          <w:tcPr>
            <w:tcW w:w="1738"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2</w:t>
            </w:r>
            <w:r w:rsidRPr="00A214B0">
              <w:rPr>
                <w:rFonts w:ascii="Times New Roman" w:eastAsia="Microsoft YaHei UI" w:hAnsi="Times New Roman" w:cs="Times New Roman"/>
                <w:b/>
                <w:color w:val="000000" w:themeColor="text1"/>
                <w:kern w:val="0"/>
                <w:sz w:val="18"/>
                <w:szCs w:val="18"/>
                <w:lang w:bidi="ar"/>
              </w:rPr>
              <w:t>年</w:t>
            </w:r>
          </w:p>
        </w:tc>
      </w:tr>
      <w:tr w:rsidR="00D56508" w:rsidRPr="00A214B0">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收入分成率</w:t>
            </w:r>
          </w:p>
        </w:tc>
        <w:tc>
          <w:tcPr>
            <w:tcW w:w="16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1.05%</w:t>
            </w:r>
          </w:p>
        </w:tc>
        <w:tc>
          <w:tcPr>
            <w:tcW w:w="174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1.05%</w:t>
            </w:r>
          </w:p>
        </w:tc>
        <w:tc>
          <w:tcPr>
            <w:tcW w:w="1741" w:type="dxa"/>
            <w:tcBorders>
              <w:top w:val="single" w:sz="4" w:space="0" w:color="auto"/>
              <w:left w:val="nil"/>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1.05%</w:t>
            </w:r>
          </w:p>
        </w:tc>
        <w:tc>
          <w:tcPr>
            <w:tcW w:w="1738" w:type="dxa"/>
            <w:tcBorders>
              <w:top w:val="single" w:sz="4" w:space="0" w:color="auto"/>
              <w:left w:val="nil"/>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1.05%</w:t>
            </w:r>
          </w:p>
        </w:tc>
      </w:tr>
      <w:tr w:rsidR="00D56508" w:rsidRPr="00A214B0">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年衰减比率</w:t>
            </w:r>
          </w:p>
        </w:tc>
        <w:tc>
          <w:tcPr>
            <w:tcW w:w="16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4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41" w:type="dxa"/>
            <w:tcBorders>
              <w:top w:val="single" w:sz="4" w:space="0" w:color="auto"/>
              <w:left w:val="nil"/>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c>
          <w:tcPr>
            <w:tcW w:w="1738" w:type="dxa"/>
            <w:tcBorders>
              <w:top w:val="single" w:sz="4" w:space="0" w:color="auto"/>
              <w:left w:val="nil"/>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w:t>
            </w:r>
          </w:p>
        </w:tc>
      </w:tr>
      <w:tr w:rsidR="00D56508" w:rsidRPr="00A214B0">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综合分成率</w:t>
            </w:r>
          </w:p>
        </w:tc>
        <w:tc>
          <w:tcPr>
            <w:tcW w:w="1681"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1.05%</w:t>
            </w:r>
          </w:p>
        </w:tc>
        <w:tc>
          <w:tcPr>
            <w:tcW w:w="174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0.94%</w:t>
            </w:r>
          </w:p>
        </w:tc>
        <w:tc>
          <w:tcPr>
            <w:tcW w:w="1741" w:type="dxa"/>
            <w:tcBorders>
              <w:top w:val="single" w:sz="4" w:space="0" w:color="auto"/>
              <w:left w:val="nil"/>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0.85%</w:t>
            </w:r>
          </w:p>
        </w:tc>
        <w:tc>
          <w:tcPr>
            <w:tcW w:w="1738" w:type="dxa"/>
            <w:tcBorders>
              <w:top w:val="single" w:sz="4" w:space="0" w:color="auto"/>
              <w:left w:val="nil"/>
              <w:bottom w:val="single" w:sz="4" w:space="0" w:color="auto"/>
              <w:right w:val="single" w:sz="4" w:space="0" w:color="auto"/>
            </w:tcBorders>
            <w:vAlign w:val="center"/>
          </w:tcPr>
          <w:p w:rsidR="00D56508" w:rsidRPr="00A214B0" w:rsidRDefault="00F1265B">
            <w:pPr>
              <w:jc w:val="center"/>
              <w:rPr>
                <w:rFonts w:ascii="Times New Roman" w:hAnsi="Times New Roman" w:cs="Times New Roman"/>
                <w:color w:val="000000" w:themeColor="text1"/>
                <w:sz w:val="18"/>
                <w:szCs w:val="18"/>
              </w:rPr>
            </w:pPr>
            <w:r w:rsidRPr="00A214B0">
              <w:rPr>
                <w:rFonts w:ascii="Times New Roman" w:hAnsi="Times New Roman" w:cs="Times New Roman"/>
                <w:color w:val="000000" w:themeColor="text1"/>
                <w:sz w:val="18"/>
                <w:szCs w:val="18"/>
              </w:rPr>
              <w:t>0.76%</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5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⑤</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确定专利权对现金流的贡献</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通过上述综合分成率的估算和对企业仓储收入的预测，可以得出委估专利权的贡献</w:t>
      </w:r>
      <w:r w:rsidRPr="00A214B0">
        <w:rPr>
          <w:rFonts w:ascii="Times New Roman" w:hAnsi="Times New Roman" w:cs="Times New Roman"/>
          <w:color w:val="000000" w:themeColor="text1"/>
          <w:sz w:val="24"/>
          <w:szCs w:val="24"/>
        </w:rPr>
        <w:t xml:space="preserve"> =Σ</w:t>
      </w:r>
      <w:r w:rsidRPr="00A214B0">
        <w:rPr>
          <w:rFonts w:ascii="Times New Roman" w:hAnsi="Times New Roman" w:cs="Times New Roman"/>
          <w:color w:val="000000" w:themeColor="text1"/>
          <w:sz w:val="24"/>
          <w:szCs w:val="24"/>
        </w:rPr>
        <w:t>（产品年销售收入净值</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年技术分成率）。</w:t>
      </w:r>
    </w:p>
    <w:p w:rsidR="00D56508" w:rsidRPr="00A214B0" w:rsidRDefault="00F1265B">
      <w:pPr>
        <w:snapToGrid w:val="0"/>
        <w:spacing w:line="360" w:lineRule="auto"/>
        <w:ind w:firstLineChars="200" w:firstLine="360"/>
        <w:jc w:val="right"/>
        <w:rPr>
          <w:rFonts w:ascii="Times New Roman" w:hAnsi="Times New Roman" w:cs="Times New Roman"/>
          <w:color w:val="000000" w:themeColor="text1"/>
          <w:sz w:val="18"/>
          <w:szCs w:val="24"/>
        </w:rPr>
      </w:pPr>
      <w:r w:rsidRPr="00A214B0">
        <w:rPr>
          <w:rFonts w:ascii="Times New Roman" w:hAnsi="Times New Roman" w:cs="Times New Roman"/>
          <w:color w:val="000000" w:themeColor="text1"/>
          <w:sz w:val="18"/>
          <w:szCs w:val="24"/>
        </w:rPr>
        <w:t>单位：万元</w:t>
      </w:r>
    </w:p>
    <w:tbl>
      <w:tblPr>
        <w:tblW w:w="9049" w:type="dxa"/>
        <w:tblLayout w:type="fixed"/>
        <w:tblLook w:val="04A0" w:firstRow="1" w:lastRow="0" w:firstColumn="1" w:lastColumn="0" w:noHBand="0" w:noVBand="1"/>
      </w:tblPr>
      <w:tblGrid>
        <w:gridCol w:w="1534"/>
        <w:gridCol w:w="1830"/>
        <w:gridCol w:w="1800"/>
        <w:gridCol w:w="2010"/>
        <w:gridCol w:w="1875"/>
      </w:tblGrid>
      <w:tr w:rsidR="00D56508" w:rsidRPr="00A214B0">
        <w:trPr>
          <w:trHeight w:val="630"/>
          <w:tblHeader/>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项目</w:t>
            </w:r>
          </w:p>
        </w:tc>
        <w:tc>
          <w:tcPr>
            <w:tcW w:w="183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201</w:t>
            </w:r>
            <w:r w:rsidRPr="00A214B0">
              <w:rPr>
                <w:rFonts w:ascii="Times New Roman" w:eastAsia="宋体" w:hAnsi="Times New Roman" w:cs="Times New Roman"/>
                <w:b/>
                <w:color w:val="000000" w:themeColor="text1"/>
                <w:kern w:val="0"/>
                <w:sz w:val="18"/>
                <w:szCs w:val="18"/>
                <w:lang w:bidi="ar"/>
              </w:rPr>
              <w:t>9</w:t>
            </w:r>
            <w:r w:rsidRPr="00A214B0">
              <w:rPr>
                <w:rFonts w:ascii="Times New Roman" w:eastAsia="Microsoft YaHei UI" w:hAnsi="Times New Roman" w:cs="Times New Roman"/>
                <w:b/>
                <w:color w:val="000000" w:themeColor="text1"/>
                <w:kern w:val="0"/>
                <w:sz w:val="18"/>
                <w:szCs w:val="18"/>
                <w:lang w:bidi="ar"/>
              </w:rPr>
              <w:t>年</w:t>
            </w:r>
            <w:r w:rsidRPr="00A214B0">
              <w:rPr>
                <w:rFonts w:ascii="Times New Roman" w:eastAsia="Tahoma" w:hAnsi="Times New Roman" w:cs="Times New Roman"/>
                <w:b/>
                <w:color w:val="000000" w:themeColor="text1"/>
                <w:kern w:val="0"/>
                <w:sz w:val="18"/>
                <w:szCs w:val="18"/>
                <w:lang w:bidi="ar"/>
              </w:rPr>
              <w:t xml:space="preserve"> </w:t>
            </w:r>
            <w:r w:rsidRPr="00A214B0">
              <w:rPr>
                <w:rFonts w:ascii="Times New Roman" w:eastAsia="宋体" w:hAnsi="Times New Roman" w:cs="Times New Roman"/>
                <w:b/>
                <w:color w:val="000000" w:themeColor="text1"/>
                <w:kern w:val="0"/>
                <w:sz w:val="18"/>
                <w:szCs w:val="18"/>
                <w:lang w:bidi="ar"/>
              </w:rPr>
              <w:t>5-</w:t>
            </w:r>
            <w:r w:rsidRPr="00A214B0">
              <w:rPr>
                <w:rFonts w:ascii="Times New Roman" w:eastAsia="Tahoma" w:hAnsi="Times New Roman" w:cs="Times New Roman"/>
                <w:b/>
                <w:color w:val="000000" w:themeColor="text1"/>
                <w:kern w:val="0"/>
                <w:sz w:val="18"/>
                <w:szCs w:val="18"/>
                <w:lang w:bidi="ar"/>
              </w:rPr>
              <w:t>12</w:t>
            </w:r>
            <w:r w:rsidRPr="00A214B0">
              <w:rPr>
                <w:rFonts w:ascii="Times New Roman" w:eastAsia="Microsoft YaHei UI" w:hAnsi="Times New Roman" w:cs="Times New Roman"/>
                <w:b/>
                <w:color w:val="000000" w:themeColor="text1"/>
                <w:kern w:val="0"/>
                <w:sz w:val="18"/>
                <w:szCs w:val="18"/>
                <w:lang w:bidi="ar"/>
              </w:rPr>
              <w:t>月</w:t>
            </w:r>
          </w:p>
        </w:tc>
        <w:tc>
          <w:tcPr>
            <w:tcW w:w="180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0</w:t>
            </w:r>
            <w:r w:rsidRPr="00A214B0">
              <w:rPr>
                <w:rFonts w:ascii="Times New Roman" w:eastAsia="Microsoft YaHei UI" w:hAnsi="Times New Roman" w:cs="Times New Roman"/>
                <w:b/>
                <w:color w:val="000000" w:themeColor="text1"/>
                <w:kern w:val="0"/>
                <w:sz w:val="18"/>
                <w:szCs w:val="18"/>
                <w:lang w:bidi="ar"/>
              </w:rPr>
              <w:t>年</w:t>
            </w:r>
          </w:p>
        </w:tc>
        <w:tc>
          <w:tcPr>
            <w:tcW w:w="2010"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1</w:t>
            </w:r>
            <w:r w:rsidRPr="00A214B0">
              <w:rPr>
                <w:rFonts w:ascii="Times New Roman" w:eastAsia="Microsoft YaHei UI" w:hAnsi="Times New Roman" w:cs="Times New Roman"/>
                <w:b/>
                <w:color w:val="000000" w:themeColor="text1"/>
                <w:kern w:val="0"/>
                <w:sz w:val="18"/>
                <w:szCs w:val="18"/>
                <w:lang w:bidi="ar"/>
              </w:rPr>
              <w:t>年</w:t>
            </w:r>
          </w:p>
        </w:tc>
        <w:tc>
          <w:tcPr>
            <w:tcW w:w="1875"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eastAsia="Tahoma" w:hAnsi="Times New Roman" w:cs="Times New Roman"/>
                <w:b/>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2</w:t>
            </w:r>
            <w:r w:rsidRPr="00A214B0">
              <w:rPr>
                <w:rFonts w:ascii="Times New Roman" w:eastAsia="Microsoft YaHei UI" w:hAnsi="Times New Roman" w:cs="Times New Roman"/>
                <w:b/>
                <w:color w:val="000000" w:themeColor="text1"/>
                <w:kern w:val="0"/>
                <w:sz w:val="18"/>
                <w:szCs w:val="18"/>
                <w:lang w:bidi="ar"/>
              </w:rPr>
              <w:t>年</w:t>
            </w:r>
          </w:p>
        </w:tc>
      </w:tr>
      <w:tr w:rsidR="00D56508" w:rsidRPr="00A214B0">
        <w:trPr>
          <w:trHeight w:val="31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对应仓储收入</w:t>
            </w:r>
          </w:p>
        </w:tc>
        <w:tc>
          <w:tcPr>
            <w:tcW w:w="183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5,416.04</w:t>
            </w:r>
          </w:p>
        </w:tc>
        <w:tc>
          <w:tcPr>
            <w:tcW w:w="180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10,143.30</w:t>
            </w:r>
          </w:p>
        </w:tc>
        <w:tc>
          <w:tcPr>
            <w:tcW w:w="2010"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10,751.90</w:t>
            </w:r>
          </w:p>
        </w:tc>
        <w:tc>
          <w:tcPr>
            <w:tcW w:w="1875"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11,289.49</w:t>
            </w:r>
          </w:p>
        </w:tc>
      </w:tr>
      <w:tr w:rsidR="00D56508" w:rsidRPr="00A214B0">
        <w:trPr>
          <w:trHeight w:val="31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综合分成率</w:t>
            </w:r>
          </w:p>
        </w:tc>
        <w:tc>
          <w:tcPr>
            <w:tcW w:w="183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1.05%</w:t>
            </w:r>
          </w:p>
        </w:tc>
        <w:tc>
          <w:tcPr>
            <w:tcW w:w="180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0.94%</w:t>
            </w:r>
          </w:p>
        </w:tc>
        <w:tc>
          <w:tcPr>
            <w:tcW w:w="2010"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0.85%</w:t>
            </w:r>
          </w:p>
        </w:tc>
        <w:tc>
          <w:tcPr>
            <w:tcW w:w="1875"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0.76%</w:t>
            </w:r>
          </w:p>
        </w:tc>
      </w:tr>
      <w:tr w:rsidR="00D56508" w:rsidRPr="00A214B0">
        <w:trPr>
          <w:trHeight w:val="31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贡献</w:t>
            </w:r>
          </w:p>
        </w:tc>
        <w:tc>
          <w:tcPr>
            <w:tcW w:w="183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kern w:val="0"/>
                <w:sz w:val="18"/>
                <w:szCs w:val="18"/>
              </w:rPr>
            </w:pPr>
            <w:r w:rsidRPr="00A214B0">
              <w:rPr>
                <w:rFonts w:ascii="Times New Roman" w:eastAsia="Tahoma" w:hAnsi="Times New Roman" w:cs="Times New Roman"/>
                <w:color w:val="000000" w:themeColor="text1"/>
                <w:kern w:val="0"/>
                <w:sz w:val="18"/>
                <w:szCs w:val="18"/>
                <w:lang w:bidi="ar"/>
              </w:rPr>
              <w:t>56.77</w:t>
            </w:r>
          </w:p>
        </w:tc>
        <w:tc>
          <w:tcPr>
            <w:tcW w:w="1800" w:type="dxa"/>
            <w:tcBorders>
              <w:top w:val="single" w:sz="4" w:space="0" w:color="auto"/>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95.69</w:t>
            </w:r>
          </w:p>
        </w:tc>
        <w:tc>
          <w:tcPr>
            <w:tcW w:w="2010"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91.29</w:t>
            </w:r>
          </w:p>
        </w:tc>
        <w:tc>
          <w:tcPr>
            <w:tcW w:w="1875" w:type="dxa"/>
            <w:tcBorders>
              <w:top w:val="single" w:sz="4" w:space="0" w:color="auto"/>
              <w:left w:val="nil"/>
              <w:bottom w:val="single" w:sz="4" w:space="0" w:color="auto"/>
              <w:right w:val="single" w:sz="4" w:space="0" w:color="auto"/>
            </w:tcBorders>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Tahoma" w:hAnsi="Times New Roman" w:cs="Times New Roman"/>
                <w:color w:val="000000" w:themeColor="text1"/>
                <w:kern w:val="0"/>
                <w:sz w:val="18"/>
                <w:szCs w:val="18"/>
                <w:lang w:bidi="ar"/>
              </w:rPr>
              <w:t>86.27</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6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⑥</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折现率的确定</w:t>
      </w:r>
      <w:r w:rsidRPr="00A214B0">
        <w:rPr>
          <w:rFonts w:ascii="Times New Roman" w:hAnsi="Times New Roman" w:cs="Times New Roman"/>
          <w:color w:val="000000" w:themeColor="text1"/>
          <w:sz w:val="24"/>
          <w:szCs w:val="24"/>
        </w:rPr>
        <w:t xml:space="preserve">  </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本次评估按风险累加法确定专利权资产折现率</w:t>
      </w:r>
      <w:r w:rsidRPr="00A214B0">
        <w:rPr>
          <w:rFonts w:ascii="Times New Roman" w:hAnsi="Times New Roman" w:cs="Times New Roman"/>
          <w:color w:val="000000" w:themeColor="text1"/>
          <w:sz w:val="24"/>
          <w:szCs w:val="24"/>
        </w:rPr>
        <w:t>r</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i/>
          <w:color w:val="000000" w:themeColor="text1"/>
          <w:sz w:val="24"/>
          <w:szCs w:val="24"/>
        </w:rPr>
      </w:pPr>
      <w:r w:rsidRPr="00A214B0">
        <w:rPr>
          <w:rFonts w:ascii="Times New Roman" w:hAnsi="Times New Roman" w:cs="Times New Roman"/>
          <w:color w:val="000000" w:themeColor="text1"/>
          <w:sz w:val="24"/>
          <w:szCs w:val="24"/>
        </w:rPr>
        <w:t xml:space="preserve">r = </w:t>
      </w:r>
      <w:r w:rsidRPr="00A214B0">
        <w:rPr>
          <w:rFonts w:ascii="Times New Roman" w:hAnsi="Times New Roman" w:cs="Times New Roman"/>
          <w:color w:val="000000" w:themeColor="text1"/>
          <w:sz w:val="24"/>
          <w:szCs w:val="24"/>
        </w:rPr>
        <w:t>无风险报酬率</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风险报酬率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1</w:t>
      </w:r>
      <w:r w:rsidRPr="00A214B0">
        <w:rPr>
          <w:rFonts w:ascii="Times New Roman" w:hAnsi="Times New Roman" w:cs="Times New Roman"/>
          <w:color w:val="000000" w:themeColor="text1"/>
          <w:sz w:val="24"/>
          <w:szCs w:val="24"/>
        </w:rPr>
        <w:t>）无风险报酬率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rPr>
      </w:pPr>
      <w:r w:rsidRPr="00A214B0">
        <w:rPr>
          <w:rFonts w:ascii="Times New Roman" w:hAnsi="Times New Roman" w:cs="Times New Roman"/>
          <w:color w:val="000000" w:themeColor="text1"/>
          <w:sz w:val="24"/>
          <w:szCs w:val="24"/>
        </w:rPr>
        <w:t>无风险报酬率</w:t>
      </w:r>
      <w:r w:rsidRPr="00A214B0">
        <w:rPr>
          <w:rFonts w:ascii="Times New Roman" w:hAnsi="Times New Roman" w:cs="Times New Roman"/>
          <w:color w:val="000000" w:themeColor="text1"/>
          <w:sz w:val="24"/>
          <w:szCs w:val="24"/>
        </w:rPr>
        <w:t xml:space="preserve"> Rf </w:t>
      </w:r>
      <w:r w:rsidRPr="00A214B0">
        <w:rPr>
          <w:rFonts w:ascii="Times New Roman" w:hAnsi="Times New Roman" w:cs="Times New Roman"/>
          <w:color w:val="000000" w:themeColor="text1"/>
          <w:sz w:val="24"/>
          <w:szCs w:val="24"/>
        </w:rPr>
        <w:t>采用国债的到期收益率</w:t>
      </w:r>
      <w:r w:rsidRPr="00A214B0">
        <w:rPr>
          <w:rFonts w:ascii="Times New Roman" w:hAnsi="Times New Roman" w:cs="Times New Roman"/>
          <w:color w:val="000000" w:themeColor="text1"/>
          <w:sz w:val="24"/>
          <w:szCs w:val="24"/>
        </w:rPr>
        <w:t>(Yield to Maturate Rate)</w:t>
      </w:r>
      <w:r w:rsidRPr="00A214B0">
        <w:rPr>
          <w:rFonts w:ascii="Times New Roman" w:hAnsi="Times New Roman" w:cs="Times New Roman"/>
          <w:color w:val="000000" w:themeColor="text1"/>
          <w:sz w:val="24"/>
          <w:szCs w:val="24"/>
        </w:rPr>
        <w:t>，国债的选择标准是国债到期日距评估基准日</w:t>
      </w:r>
      <w:r w:rsidRPr="00A214B0">
        <w:rPr>
          <w:rFonts w:ascii="Times New Roman" w:hAnsi="Times New Roman" w:cs="Times New Roman" w:hint="eastAsia"/>
          <w:color w:val="000000" w:themeColor="text1"/>
          <w:sz w:val="24"/>
          <w:szCs w:val="24"/>
        </w:rPr>
        <w:t>2.5</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-3.5</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color w:val="000000" w:themeColor="text1"/>
          <w:sz w:val="24"/>
          <w:szCs w:val="24"/>
        </w:rPr>
        <w:t>的国债，以其到期收益率的平均值作为平均收益率，以此平均值作为无风险报酬率</w:t>
      </w:r>
      <w:r w:rsidRPr="00A214B0">
        <w:rPr>
          <w:rFonts w:ascii="Times New Roman" w:hAnsi="Times New Roman" w:cs="Times New Roman"/>
          <w:color w:val="000000" w:themeColor="text1"/>
          <w:sz w:val="24"/>
          <w:szCs w:val="24"/>
        </w:rPr>
        <w:t xml:space="preserve"> Rf</w:t>
      </w:r>
      <w:r w:rsidRPr="00A214B0">
        <w:rPr>
          <w:rFonts w:ascii="Times New Roman" w:hAnsi="Times New Roman" w:cs="Times New Roman"/>
          <w:color w:val="000000" w:themeColor="text1"/>
          <w:sz w:val="24"/>
          <w:szCs w:val="24"/>
        </w:rPr>
        <w:t>。查阅同花顺并计算距评估基准日</w:t>
      </w:r>
      <w:r w:rsidRPr="00A214B0">
        <w:rPr>
          <w:rFonts w:ascii="Times New Roman" w:hAnsi="Times New Roman" w:cs="Times New Roman" w:hint="eastAsia"/>
          <w:color w:val="000000" w:themeColor="text1"/>
          <w:sz w:val="24"/>
          <w:szCs w:val="24"/>
        </w:rPr>
        <w:t>2.5</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hint="eastAsia"/>
          <w:color w:val="000000" w:themeColor="text1"/>
          <w:sz w:val="24"/>
          <w:szCs w:val="24"/>
        </w:rPr>
        <w:t>-3.5</w:t>
      </w:r>
      <w:r w:rsidRPr="00A214B0">
        <w:rPr>
          <w:rFonts w:ascii="Times New Roman" w:hAnsi="Times New Roman" w:cs="Times New Roman" w:hint="eastAsia"/>
          <w:color w:val="000000" w:themeColor="text1"/>
          <w:sz w:val="24"/>
          <w:szCs w:val="24"/>
        </w:rPr>
        <w:t>年</w:t>
      </w:r>
      <w:r w:rsidRPr="00A214B0">
        <w:rPr>
          <w:rFonts w:ascii="Times New Roman" w:hAnsi="Times New Roman" w:cs="Times New Roman"/>
          <w:color w:val="000000" w:themeColor="text1"/>
          <w:sz w:val="24"/>
          <w:szCs w:val="24"/>
        </w:rPr>
        <w:t>的国债平均收益率为</w:t>
      </w:r>
      <w:r w:rsidRPr="00A214B0">
        <w:rPr>
          <w:rFonts w:ascii="Times New Roman" w:hAnsi="Times New Roman" w:cs="Times New Roman"/>
          <w:color w:val="000000" w:themeColor="text1"/>
          <w:sz w:val="24"/>
          <w:szCs w:val="24"/>
        </w:rPr>
        <w:t>3.</w:t>
      </w:r>
      <w:r w:rsidRPr="00A214B0">
        <w:rPr>
          <w:rFonts w:ascii="Times New Roman" w:hAnsi="Times New Roman" w:cs="Times New Roman" w:hint="eastAsia"/>
          <w:color w:val="000000" w:themeColor="text1"/>
          <w:sz w:val="24"/>
          <w:szCs w:val="24"/>
        </w:rPr>
        <w:t>30</w:t>
      </w: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w:t>
      </w:r>
      <w:r w:rsidRPr="00A214B0">
        <w:rPr>
          <w:rFonts w:ascii="Times New Roman" w:hAnsi="Times New Roman" w:cs="Times New Roman"/>
          <w:color w:val="000000" w:themeColor="text1"/>
          <w:sz w:val="24"/>
          <w:szCs w:val="24"/>
        </w:rPr>
        <w:t>2</w:t>
      </w:r>
      <w:r w:rsidRPr="00A214B0">
        <w:rPr>
          <w:rFonts w:ascii="Times New Roman" w:hAnsi="Times New Roman" w:cs="Times New Roman"/>
          <w:color w:val="000000" w:themeColor="text1"/>
          <w:sz w:val="24"/>
          <w:szCs w:val="24"/>
        </w:rPr>
        <w:t>）风险报酬率</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由于专利权价值都是通过企业市场盈利能力来反映，因此同受技术风险、市场风险、政策风险、资金风险、管理风险等因素的共同影响。</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风险报酬率主要技术风险系数、市场风险系数、政策风险系数、资金风险系数及管理风险系数之和确定，各个风险系数的取值范围在</w:t>
      </w:r>
      <w:r w:rsidRPr="00A214B0">
        <w:rPr>
          <w:rFonts w:ascii="Times New Roman" w:hAnsi="Times New Roman" w:cs="Times New Roman"/>
          <w:color w:val="000000" w:themeColor="text1"/>
          <w:sz w:val="24"/>
          <w:szCs w:val="24"/>
        </w:rPr>
        <w:t>6%-8%</w:t>
      </w:r>
      <w:r w:rsidRPr="00A214B0">
        <w:rPr>
          <w:rFonts w:ascii="Times New Roman" w:hAnsi="Times New Roman" w:cs="Times New Roman"/>
          <w:color w:val="000000" w:themeColor="text1"/>
          <w:sz w:val="24"/>
          <w:szCs w:val="24"/>
        </w:rPr>
        <w:t>之间，而具体的数值则根据评测表求得。</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1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①</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技术风险</w:t>
      </w:r>
    </w:p>
    <w:tbl>
      <w:tblPr>
        <w:tblW w:w="8522" w:type="dxa"/>
        <w:tblLayout w:type="fixed"/>
        <w:tblLook w:val="04A0" w:firstRow="1" w:lastRow="0" w:firstColumn="1" w:lastColumn="0" w:noHBand="0" w:noVBand="1"/>
      </w:tblPr>
      <w:tblGrid>
        <w:gridCol w:w="653"/>
        <w:gridCol w:w="1446"/>
        <w:gridCol w:w="653"/>
        <w:gridCol w:w="840"/>
        <w:gridCol w:w="855"/>
        <w:gridCol w:w="855"/>
        <w:gridCol w:w="855"/>
        <w:gridCol w:w="856"/>
        <w:gridCol w:w="856"/>
        <w:gridCol w:w="653"/>
      </w:tblGrid>
      <w:tr w:rsidR="00D56508" w:rsidRPr="00A214B0">
        <w:trPr>
          <w:trHeight w:val="315"/>
        </w:trPr>
        <w:tc>
          <w:tcPr>
            <w:tcW w:w="65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权重</w:t>
            </w:r>
          </w:p>
        </w:tc>
        <w:tc>
          <w:tcPr>
            <w:tcW w:w="144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考虑因素</w:t>
            </w:r>
          </w:p>
        </w:tc>
        <w:tc>
          <w:tcPr>
            <w:tcW w:w="65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序号</w:t>
            </w:r>
          </w:p>
        </w:tc>
        <w:tc>
          <w:tcPr>
            <w:tcW w:w="5117"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分值</w:t>
            </w:r>
          </w:p>
        </w:tc>
        <w:tc>
          <w:tcPr>
            <w:tcW w:w="65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合计</w:t>
            </w:r>
          </w:p>
        </w:tc>
      </w:tr>
      <w:tr w:rsidR="00D56508" w:rsidRPr="00A214B0">
        <w:trPr>
          <w:trHeight w:val="315"/>
        </w:trPr>
        <w:tc>
          <w:tcPr>
            <w:tcW w:w="653" w:type="dxa"/>
            <w:vMerge/>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446"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653"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84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855"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80</w:t>
            </w:r>
          </w:p>
        </w:tc>
        <w:tc>
          <w:tcPr>
            <w:tcW w:w="855"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60</w:t>
            </w:r>
          </w:p>
        </w:tc>
        <w:tc>
          <w:tcPr>
            <w:tcW w:w="855"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56"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856"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c>
          <w:tcPr>
            <w:tcW w:w="653" w:type="dxa"/>
            <w:vMerge/>
            <w:tcBorders>
              <w:top w:val="single" w:sz="8" w:space="0" w:color="auto"/>
              <w:left w:val="single" w:sz="4" w:space="0" w:color="auto"/>
              <w:bottom w:val="single" w:sz="4" w:space="0" w:color="auto"/>
              <w:right w:val="single" w:sz="8"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0.3</w:t>
            </w:r>
          </w:p>
        </w:tc>
        <w:tc>
          <w:tcPr>
            <w:tcW w:w="1446"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技术转化风险</w:t>
            </w:r>
          </w:p>
        </w:tc>
        <w:tc>
          <w:tcPr>
            <w:tcW w:w="653"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0.3</w:t>
            </w:r>
          </w:p>
        </w:tc>
        <w:tc>
          <w:tcPr>
            <w:tcW w:w="1446"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技术替代风险</w:t>
            </w:r>
          </w:p>
        </w:tc>
        <w:tc>
          <w:tcPr>
            <w:tcW w:w="653"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0.2</w:t>
            </w:r>
          </w:p>
        </w:tc>
        <w:tc>
          <w:tcPr>
            <w:tcW w:w="1446"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技术权利风险</w:t>
            </w:r>
          </w:p>
        </w:tc>
        <w:tc>
          <w:tcPr>
            <w:tcW w:w="653"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0.2</w:t>
            </w:r>
          </w:p>
        </w:tc>
        <w:tc>
          <w:tcPr>
            <w:tcW w:w="1446"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技术整合风险</w:t>
            </w:r>
          </w:p>
        </w:tc>
        <w:tc>
          <w:tcPr>
            <w:tcW w:w="653"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856"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w:t>
            </w:r>
          </w:p>
        </w:tc>
      </w:tr>
      <w:tr w:rsidR="00D56508" w:rsidRPr="00A214B0">
        <w:trPr>
          <w:trHeight w:val="330"/>
        </w:trPr>
        <w:tc>
          <w:tcPr>
            <w:tcW w:w="653" w:type="dxa"/>
            <w:tcBorders>
              <w:top w:val="nil"/>
              <w:left w:val="single" w:sz="8" w:space="0" w:color="auto"/>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446"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c>
          <w:tcPr>
            <w:tcW w:w="653"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4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5"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6"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56"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single" w:sz="4" w:space="0" w:color="auto"/>
              <w:left w:val="nil"/>
              <w:bottom w:val="single" w:sz="8"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30</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取值说明：</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技术转化风险：满罐存储</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；少罐存储</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；中试</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；小试</w:t>
      </w:r>
      <w:r w:rsidRPr="00A214B0">
        <w:rPr>
          <w:rFonts w:ascii="Times New Roman" w:hAnsi="Times New Roman" w:cs="Times New Roman"/>
          <w:color w:val="000000" w:themeColor="text1"/>
          <w:sz w:val="24"/>
          <w:szCs w:val="24"/>
        </w:rPr>
        <w:t>(80)</w:t>
      </w:r>
      <w:r w:rsidRPr="00A214B0">
        <w:rPr>
          <w:rFonts w:ascii="Times New Roman" w:hAnsi="Times New Roman" w:cs="Times New Roman"/>
          <w:color w:val="000000" w:themeColor="text1"/>
          <w:sz w:val="24"/>
          <w:szCs w:val="24"/>
        </w:rPr>
        <w:t>；实验室阶段</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技术替代风险：无替代仓储服务</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；存在少量仓储服务</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；替代仓储服务较多</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c.</w:t>
      </w:r>
      <w:r w:rsidRPr="00A214B0">
        <w:rPr>
          <w:rFonts w:ascii="Times New Roman" w:hAnsi="Times New Roman" w:cs="Times New Roman"/>
          <w:color w:val="000000" w:themeColor="text1"/>
          <w:sz w:val="24"/>
          <w:szCs w:val="24"/>
        </w:rPr>
        <w:t>技术权利风险：发明专利</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；发明专利及实用新型专利</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；尚未申请专利的阶段</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d.</w:t>
      </w:r>
      <w:r w:rsidRPr="00A214B0">
        <w:rPr>
          <w:rFonts w:ascii="Times New Roman" w:hAnsi="Times New Roman" w:cs="Times New Roman"/>
          <w:color w:val="000000" w:themeColor="text1"/>
          <w:sz w:val="24"/>
          <w:szCs w:val="24"/>
        </w:rPr>
        <w:t>技术整合风险：相关技术完善</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；相关技术在细微环节需要进行一些调整以配合委估技术的实施</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；相关技术在某些方面需要进行一些调整</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；某些相关技术环节还需进行开发</w:t>
      </w:r>
      <w:r w:rsidRPr="00A214B0">
        <w:rPr>
          <w:rFonts w:ascii="Times New Roman" w:hAnsi="Times New Roman" w:cs="Times New Roman"/>
          <w:color w:val="000000" w:themeColor="text1"/>
          <w:sz w:val="24"/>
          <w:szCs w:val="24"/>
        </w:rPr>
        <w:t>(60)</w:t>
      </w:r>
      <w:r w:rsidRPr="00A214B0">
        <w:rPr>
          <w:rFonts w:ascii="Times New Roman" w:hAnsi="Times New Roman" w:cs="Times New Roman"/>
          <w:color w:val="000000" w:themeColor="text1"/>
          <w:sz w:val="24"/>
          <w:szCs w:val="24"/>
        </w:rPr>
        <w:t>；相关技术的开发存在一定的难度</w:t>
      </w:r>
      <w:r w:rsidRPr="00A214B0">
        <w:rPr>
          <w:rFonts w:ascii="Times New Roman" w:hAnsi="Times New Roman" w:cs="Times New Roman"/>
          <w:color w:val="000000" w:themeColor="text1"/>
          <w:sz w:val="24"/>
          <w:szCs w:val="24"/>
        </w:rPr>
        <w:t>(80)</w:t>
      </w:r>
      <w:r w:rsidRPr="00A214B0">
        <w:rPr>
          <w:rFonts w:ascii="Times New Roman" w:hAnsi="Times New Roman" w:cs="Times New Roman"/>
          <w:color w:val="000000" w:themeColor="text1"/>
          <w:sz w:val="24"/>
          <w:szCs w:val="24"/>
        </w:rPr>
        <w:t>；相关技术尚未出现</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技术风险</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30%</w:t>
      </w:r>
      <w:r w:rsidRPr="00A214B0">
        <w:rPr>
          <w:rFonts w:ascii="Times New Roman" w:hAnsi="Times New Roman" w:cs="Times New Roman"/>
          <w:color w:val="000000" w:themeColor="text1"/>
          <w:sz w:val="24"/>
        </w:rPr>
        <w:t>×8%=</w:t>
      </w:r>
      <w:r w:rsidRPr="00A214B0">
        <w:rPr>
          <w:rFonts w:ascii="Times New Roman" w:hAnsi="Times New Roman" w:cs="Times New Roman" w:hint="eastAsia"/>
          <w:color w:val="000000" w:themeColor="text1"/>
          <w:sz w:val="24"/>
        </w:rPr>
        <w:t>2</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4</w:t>
      </w:r>
      <w:r w:rsidRPr="00A214B0">
        <w:rPr>
          <w:rFonts w:ascii="Times New Roman" w:hAnsi="Times New Roman" w:cs="Times New Roman"/>
          <w:color w:val="000000" w:themeColor="text1"/>
          <w:sz w:val="24"/>
        </w:rPr>
        <w:t>0%</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2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②</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市场风险</w:t>
      </w:r>
    </w:p>
    <w:tbl>
      <w:tblPr>
        <w:tblW w:w="8522" w:type="dxa"/>
        <w:tblLayout w:type="fixed"/>
        <w:tblLook w:val="04A0" w:firstRow="1" w:lastRow="0" w:firstColumn="1" w:lastColumn="0" w:noHBand="0" w:noVBand="1"/>
      </w:tblPr>
      <w:tblGrid>
        <w:gridCol w:w="618"/>
        <w:gridCol w:w="770"/>
        <w:gridCol w:w="1845"/>
        <w:gridCol w:w="720"/>
        <w:gridCol w:w="597"/>
        <w:gridCol w:w="671"/>
        <w:gridCol w:w="670"/>
        <w:gridCol w:w="671"/>
        <w:gridCol w:w="670"/>
        <w:gridCol w:w="555"/>
        <w:gridCol w:w="735"/>
      </w:tblGrid>
      <w:tr w:rsidR="00D56508" w:rsidRPr="00A214B0">
        <w:trPr>
          <w:trHeight w:val="315"/>
        </w:trPr>
        <w:tc>
          <w:tcPr>
            <w:tcW w:w="6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权重</w:t>
            </w:r>
          </w:p>
        </w:tc>
        <w:tc>
          <w:tcPr>
            <w:tcW w:w="261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考虑因素</w:t>
            </w:r>
          </w:p>
        </w:tc>
        <w:tc>
          <w:tcPr>
            <w:tcW w:w="72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分权重</w:t>
            </w:r>
          </w:p>
        </w:tc>
        <w:tc>
          <w:tcPr>
            <w:tcW w:w="383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分值</w:t>
            </w:r>
          </w:p>
        </w:tc>
        <w:tc>
          <w:tcPr>
            <w:tcW w:w="735"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r>
      <w:tr w:rsidR="00D56508" w:rsidRPr="00A214B0">
        <w:trPr>
          <w:trHeight w:val="315"/>
        </w:trPr>
        <w:tc>
          <w:tcPr>
            <w:tcW w:w="618" w:type="dxa"/>
            <w:vMerge/>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2615" w:type="dxa"/>
            <w:gridSpan w:val="2"/>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720"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597"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671"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80</w:t>
            </w:r>
          </w:p>
        </w:tc>
        <w:tc>
          <w:tcPr>
            <w:tcW w:w="67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60</w:t>
            </w:r>
          </w:p>
        </w:tc>
        <w:tc>
          <w:tcPr>
            <w:tcW w:w="671"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67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555"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c>
          <w:tcPr>
            <w:tcW w:w="735" w:type="dxa"/>
            <w:vMerge/>
            <w:tcBorders>
              <w:top w:val="single" w:sz="8" w:space="0" w:color="auto"/>
              <w:left w:val="single" w:sz="4" w:space="0" w:color="auto"/>
              <w:bottom w:val="single" w:sz="4" w:space="0" w:color="auto"/>
              <w:right w:val="single" w:sz="8"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315"/>
        </w:trPr>
        <w:tc>
          <w:tcPr>
            <w:tcW w:w="618" w:type="dxa"/>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0.4</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市场容量风险</w:t>
            </w:r>
            <w:r w:rsidRPr="00A214B0">
              <w:rPr>
                <w:rFonts w:ascii="Times New Roman" w:hAnsi="Times New Roman" w:cs="Times New Roman"/>
                <w:color w:val="000000" w:themeColor="text1"/>
                <w:kern w:val="0"/>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D56508" w:rsidRPr="00A214B0" w:rsidRDefault="00F1265B">
            <w:pPr>
              <w:widowControl/>
              <w:jc w:val="center"/>
              <w:textAlignment w:val="center"/>
              <w:rPr>
                <w:rFonts w:ascii="Times New Roman" w:hAnsi="Times New Roman" w:cs="Times New Roman"/>
                <w:b/>
                <w:bCs/>
                <w:color w:val="000000" w:themeColor="text1"/>
                <w:kern w:val="0"/>
                <w:sz w:val="18"/>
                <w:szCs w:val="18"/>
              </w:rPr>
            </w:pPr>
            <w:r w:rsidRPr="00A214B0">
              <w:rPr>
                <w:rFonts w:ascii="Times New Roman" w:eastAsia="Tahoma" w:hAnsi="Times New Roman" w:cs="Times New Roman"/>
                <w:color w:val="000000" w:themeColor="text1"/>
                <w:kern w:val="0"/>
                <w:sz w:val="18"/>
                <w:szCs w:val="18"/>
                <w:lang w:bidi="ar"/>
              </w:rPr>
              <w:t>1</w:t>
            </w:r>
          </w:p>
        </w:tc>
        <w:tc>
          <w:tcPr>
            <w:tcW w:w="597"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67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5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735"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16</w:t>
            </w:r>
          </w:p>
        </w:tc>
      </w:tr>
      <w:tr w:rsidR="00D56508" w:rsidRPr="00A214B0">
        <w:trPr>
          <w:trHeight w:val="315"/>
        </w:trPr>
        <w:tc>
          <w:tcPr>
            <w:tcW w:w="618" w:type="dxa"/>
            <w:vMerge w:val="restart"/>
            <w:tcBorders>
              <w:top w:val="nil"/>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0.6</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市场竞争风险</w:t>
            </w:r>
          </w:p>
        </w:tc>
        <w:tc>
          <w:tcPr>
            <w:tcW w:w="1845"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市场现有竞争风险</w:t>
            </w:r>
            <w:r w:rsidRPr="00A214B0">
              <w:rPr>
                <w:rFonts w:ascii="Times New Roman" w:hAnsi="Times New Roman" w:cs="Times New Roman"/>
                <w:color w:val="000000" w:themeColor="text1"/>
                <w:kern w:val="0"/>
                <w:sz w:val="18"/>
                <w:szCs w:val="18"/>
              </w:rPr>
              <w:t>2</w:t>
            </w:r>
          </w:p>
        </w:tc>
        <w:tc>
          <w:tcPr>
            <w:tcW w:w="72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hAnsi="Times New Roman" w:cs="Times New Roman"/>
                <w:b/>
                <w:bCs/>
                <w:color w:val="000000" w:themeColor="text1"/>
                <w:sz w:val="18"/>
                <w:szCs w:val="18"/>
              </w:rPr>
            </w:pPr>
            <w:r w:rsidRPr="00A214B0">
              <w:rPr>
                <w:rFonts w:ascii="Times New Roman" w:eastAsia="Tahoma" w:hAnsi="Times New Roman" w:cs="Times New Roman"/>
                <w:color w:val="000000" w:themeColor="text1"/>
                <w:kern w:val="0"/>
                <w:sz w:val="18"/>
                <w:szCs w:val="18"/>
                <w:lang w:bidi="ar"/>
              </w:rPr>
              <w:t>0.7</w:t>
            </w:r>
          </w:p>
        </w:tc>
        <w:tc>
          <w:tcPr>
            <w:tcW w:w="597"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5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735"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w:t>
            </w:r>
          </w:p>
        </w:tc>
      </w:tr>
      <w:tr w:rsidR="00D56508" w:rsidRPr="00A214B0">
        <w:trPr>
          <w:trHeight w:val="315"/>
        </w:trPr>
        <w:tc>
          <w:tcPr>
            <w:tcW w:w="618" w:type="dxa"/>
            <w:vMerge/>
            <w:tcBorders>
              <w:top w:val="nil"/>
              <w:left w:val="single" w:sz="8"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770" w:type="dxa"/>
            <w:vMerge/>
            <w:tcBorders>
              <w:top w:val="nil"/>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845"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市场潜在竞争风险</w:t>
            </w:r>
            <w:r w:rsidRPr="00A214B0">
              <w:rPr>
                <w:rFonts w:ascii="Times New Roman" w:hAnsi="Times New Roman" w:cs="Times New Roman"/>
                <w:color w:val="000000" w:themeColor="text1"/>
                <w:kern w:val="0"/>
                <w:sz w:val="18"/>
                <w:szCs w:val="18"/>
              </w:rPr>
              <w:t>3</w:t>
            </w:r>
          </w:p>
        </w:tc>
        <w:tc>
          <w:tcPr>
            <w:tcW w:w="72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textAlignment w:val="bottom"/>
              <w:rPr>
                <w:rFonts w:ascii="Times New Roman" w:hAnsi="Times New Roman" w:cs="Times New Roman"/>
                <w:b/>
                <w:bCs/>
                <w:color w:val="000000" w:themeColor="text1"/>
                <w:sz w:val="18"/>
                <w:szCs w:val="18"/>
              </w:rPr>
            </w:pPr>
            <w:r w:rsidRPr="00A214B0">
              <w:rPr>
                <w:rFonts w:ascii="Times New Roman" w:eastAsia="Tahoma" w:hAnsi="Times New Roman" w:cs="Times New Roman"/>
                <w:color w:val="000000" w:themeColor="text1"/>
                <w:kern w:val="0"/>
                <w:sz w:val="18"/>
                <w:szCs w:val="18"/>
                <w:lang w:bidi="ar"/>
              </w:rPr>
              <w:t>0.3</w:t>
            </w:r>
          </w:p>
        </w:tc>
        <w:tc>
          <w:tcPr>
            <w:tcW w:w="597"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555"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735"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3.6</w:t>
            </w:r>
          </w:p>
        </w:tc>
      </w:tr>
      <w:tr w:rsidR="00D56508" w:rsidRPr="00A214B0">
        <w:trPr>
          <w:trHeight w:val="330"/>
        </w:trPr>
        <w:tc>
          <w:tcPr>
            <w:tcW w:w="618" w:type="dxa"/>
            <w:tcBorders>
              <w:top w:val="nil"/>
              <w:left w:val="single" w:sz="8" w:space="0" w:color="auto"/>
              <w:bottom w:val="single" w:sz="8"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c>
          <w:tcPr>
            <w:tcW w:w="77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845"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72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b/>
                <w:bCs/>
                <w:color w:val="000000" w:themeColor="text1"/>
                <w:sz w:val="18"/>
                <w:szCs w:val="18"/>
              </w:rPr>
            </w:pPr>
          </w:p>
        </w:tc>
        <w:tc>
          <w:tcPr>
            <w:tcW w:w="597"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1"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7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555"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735" w:type="dxa"/>
            <w:tcBorders>
              <w:top w:val="single" w:sz="4" w:space="0" w:color="auto"/>
              <w:left w:val="nil"/>
              <w:bottom w:val="single" w:sz="8"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28.0</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取值说明：</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．市场容量风险。市场总容量大且平稳（</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）；市场总容量一般，但发展前景好（</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）；市场总容量一般且发展平稳（</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）；市场总容量小，呈增长趋势（</w:t>
      </w:r>
      <w:r w:rsidRPr="00A214B0">
        <w:rPr>
          <w:rFonts w:ascii="Times New Roman" w:hAnsi="Times New Roman" w:cs="Times New Roman"/>
          <w:color w:val="000000" w:themeColor="text1"/>
          <w:sz w:val="24"/>
          <w:szCs w:val="24"/>
        </w:rPr>
        <w:t>80</w:t>
      </w:r>
      <w:r w:rsidRPr="00A214B0">
        <w:rPr>
          <w:rFonts w:ascii="Times New Roman" w:hAnsi="Times New Roman" w:cs="Times New Roman"/>
          <w:color w:val="000000" w:themeColor="text1"/>
          <w:sz w:val="24"/>
          <w:szCs w:val="24"/>
        </w:rPr>
        <w:t>）；市场总容量小，发展平稳（</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．市场现有竞争风险。市场为新市场，无其他厂商（</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）；市场中厂商数量较少，实力无明显优势（</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）；市场中厂商数量较多，但其中有几个厂商具有较明显的优势（</w:t>
      </w:r>
      <w:r w:rsidRPr="00A214B0">
        <w:rPr>
          <w:rFonts w:ascii="Times New Roman" w:hAnsi="Times New Roman" w:cs="Times New Roman"/>
          <w:color w:val="000000" w:themeColor="text1"/>
          <w:sz w:val="24"/>
          <w:szCs w:val="24"/>
        </w:rPr>
        <w:t>60</w:t>
      </w:r>
      <w:r w:rsidRPr="00A214B0">
        <w:rPr>
          <w:rFonts w:ascii="Times New Roman" w:hAnsi="Times New Roman" w:cs="Times New Roman"/>
          <w:color w:val="000000" w:themeColor="text1"/>
          <w:sz w:val="24"/>
          <w:szCs w:val="24"/>
        </w:rPr>
        <w:t>）；市场中厂商数量众多，且无明显优势（</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市场风险＝</w:t>
      </w:r>
      <w:r w:rsidRPr="00A214B0">
        <w:rPr>
          <w:rFonts w:ascii="Times New Roman" w:hAnsi="Times New Roman" w:cs="Times New Roman" w:hint="eastAsia"/>
          <w:color w:val="000000" w:themeColor="text1"/>
          <w:sz w:val="24"/>
        </w:rPr>
        <w:t>28%</w:t>
      </w:r>
      <w:r w:rsidRPr="00A214B0">
        <w:rPr>
          <w:rFonts w:ascii="Times New Roman" w:hAnsi="Times New Roman" w:cs="Times New Roman"/>
          <w:color w:val="000000" w:themeColor="text1"/>
          <w:sz w:val="24"/>
        </w:rPr>
        <w:t>×8%=</w:t>
      </w:r>
      <w:r w:rsidRPr="00A214B0">
        <w:rPr>
          <w:rFonts w:ascii="Times New Roman" w:hAnsi="Times New Roman" w:cs="Times New Roman" w:hint="eastAsia"/>
          <w:color w:val="000000" w:themeColor="text1"/>
          <w:sz w:val="24"/>
        </w:rPr>
        <w:t>2.24</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3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③</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政策风险</w:t>
      </w:r>
    </w:p>
    <w:tbl>
      <w:tblPr>
        <w:tblW w:w="8522" w:type="dxa"/>
        <w:tblLayout w:type="fixed"/>
        <w:tblLook w:val="04A0" w:firstRow="1" w:lastRow="0" w:firstColumn="1" w:lastColumn="0" w:noHBand="0" w:noVBand="1"/>
      </w:tblPr>
      <w:tblGrid>
        <w:gridCol w:w="653"/>
        <w:gridCol w:w="1101"/>
        <w:gridCol w:w="652"/>
        <w:gridCol w:w="910"/>
        <w:gridCol w:w="909"/>
        <w:gridCol w:w="910"/>
        <w:gridCol w:w="911"/>
        <w:gridCol w:w="911"/>
        <w:gridCol w:w="912"/>
        <w:gridCol w:w="653"/>
      </w:tblGrid>
      <w:tr w:rsidR="00D56508" w:rsidRPr="00A214B0">
        <w:trPr>
          <w:trHeight w:val="315"/>
        </w:trPr>
        <w:tc>
          <w:tcPr>
            <w:tcW w:w="65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权重</w:t>
            </w:r>
          </w:p>
        </w:tc>
        <w:tc>
          <w:tcPr>
            <w:tcW w:w="110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考虑因素</w:t>
            </w:r>
          </w:p>
        </w:tc>
        <w:tc>
          <w:tcPr>
            <w:tcW w:w="65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序号</w:t>
            </w:r>
          </w:p>
        </w:tc>
        <w:tc>
          <w:tcPr>
            <w:tcW w:w="5463"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分值</w:t>
            </w:r>
          </w:p>
        </w:tc>
        <w:tc>
          <w:tcPr>
            <w:tcW w:w="65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合计</w:t>
            </w:r>
          </w:p>
        </w:tc>
      </w:tr>
      <w:tr w:rsidR="00D56508" w:rsidRPr="00A214B0">
        <w:trPr>
          <w:trHeight w:val="315"/>
        </w:trPr>
        <w:tc>
          <w:tcPr>
            <w:tcW w:w="653" w:type="dxa"/>
            <w:vMerge/>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101"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652"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91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909"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80</w:t>
            </w:r>
          </w:p>
        </w:tc>
        <w:tc>
          <w:tcPr>
            <w:tcW w:w="91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60</w:t>
            </w:r>
          </w:p>
        </w:tc>
        <w:tc>
          <w:tcPr>
            <w:tcW w:w="911"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911"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912"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c>
          <w:tcPr>
            <w:tcW w:w="653" w:type="dxa"/>
            <w:vMerge/>
            <w:tcBorders>
              <w:top w:val="single" w:sz="8" w:space="0" w:color="auto"/>
              <w:left w:val="single" w:sz="4" w:space="0" w:color="auto"/>
              <w:bottom w:val="single" w:sz="4" w:space="0" w:color="auto"/>
              <w:right w:val="single" w:sz="8"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0.5</w:t>
            </w:r>
          </w:p>
        </w:tc>
        <w:tc>
          <w:tcPr>
            <w:tcW w:w="1101"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政策导向</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91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0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10" w:type="dxa"/>
            <w:tcBorders>
              <w:top w:val="nil"/>
              <w:left w:val="nil"/>
              <w:bottom w:val="single" w:sz="4" w:space="0" w:color="auto"/>
              <w:right w:val="single" w:sz="4" w:space="0" w:color="auto"/>
            </w:tcBorders>
            <w:shd w:val="clear" w:color="auto" w:fill="auto"/>
          </w:tcPr>
          <w:p w:rsidR="00D56508" w:rsidRPr="00A214B0" w:rsidRDefault="00D56508">
            <w:pPr>
              <w:widowControl/>
              <w:jc w:val="center"/>
              <w:rPr>
                <w:rFonts w:ascii="Times New Roman" w:hAnsi="Times New Roman" w:cs="Times New Roman"/>
                <w:color w:val="000000" w:themeColor="text1"/>
                <w:kern w:val="0"/>
                <w:sz w:val="18"/>
                <w:szCs w:val="18"/>
              </w:rPr>
            </w:pPr>
          </w:p>
        </w:tc>
        <w:tc>
          <w:tcPr>
            <w:tcW w:w="911"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91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912"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0.5</w:t>
            </w:r>
          </w:p>
        </w:tc>
        <w:tc>
          <w:tcPr>
            <w:tcW w:w="1101"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政策限制</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91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0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10" w:type="dxa"/>
            <w:tcBorders>
              <w:top w:val="nil"/>
              <w:left w:val="nil"/>
              <w:bottom w:val="single" w:sz="4" w:space="0" w:color="auto"/>
              <w:right w:val="single" w:sz="4" w:space="0" w:color="auto"/>
            </w:tcBorders>
            <w:shd w:val="clear" w:color="auto" w:fill="auto"/>
          </w:tcPr>
          <w:p w:rsidR="00D56508" w:rsidRPr="00A214B0" w:rsidRDefault="00D56508">
            <w:pPr>
              <w:widowControl/>
              <w:jc w:val="center"/>
              <w:rPr>
                <w:rFonts w:ascii="Times New Roman" w:hAnsi="Times New Roman" w:cs="Times New Roman"/>
                <w:color w:val="000000" w:themeColor="text1"/>
                <w:kern w:val="0"/>
                <w:sz w:val="18"/>
                <w:szCs w:val="18"/>
              </w:rPr>
            </w:pPr>
          </w:p>
        </w:tc>
        <w:tc>
          <w:tcPr>
            <w:tcW w:w="911"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911"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912"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w:t>
            </w:r>
          </w:p>
        </w:tc>
      </w:tr>
      <w:tr w:rsidR="00D56508" w:rsidRPr="00A214B0">
        <w:trPr>
          <w:trHeight w:val="330"/>
        </w:trPr>
        <w:tc>
          <w:tcPr>
            <w:tcW w:w="653" w:type="dxa"/>
            <w:tcBorders>
              <w:top w:val="nil"/>
              <w:left w:val="single" w:sz="8" w:space="0" w:color="auto"/>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101"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c>
          <w:tcPr>
            <w:tcW w:w="652"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1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09"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1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911"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911"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912"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single" w:sz="4" w:space="0" w:color="auto"/>
              <w:left w:val="nil"/>
              <w:bottom w:val="single" w:sz="8"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30</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取值说明：</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．政策导向：国家政策导向高</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b</w:t>
      </w:r>
      <w:r w:rsidRPr="00A214B0">
        <w:rPr>
          <w:rFonts w:ascii="Times New Roman" w:hAnsi="Times New Roman" w:cs="Times New Roman"/>
          <w:color w:val="000000" w:themeColor="text1"/>
          <w:sz w:val="24"/>
        </w:rPr>
        <w:t>．政策限制：受国家环保政策限制一般</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政策风险</w:t>
      </w:r>
      <w:r w:rsidRPr="00A214B0">
        <w:rPr>
          <w:rFonts w:ascii="Times New Roman" w:hAnsi="Times New Roman" w:cs="Times New Roman"/>
          <w:color w:val="000000" w:themeColor="text1"/>
          <w:sz w:val="24"/>
        </w:rPr>
        <w:t>=</w:t>
      </w:r>
      <w:r w:rsidRPr="00A214B0">
        <w:rPr>
          <w:rFonts w:ascii="Times New Roman" w:hAnsi="Times New Roman" w:cs="Times New Roman" w:hint="eastAsia"/>
          <w:color w:val="000000" w:themeColor="text1"/>
          <w:sz w:val="24"/>
        </w:rPr>
        <w:t>30%</w:t>
      </w:r>
      <w:r w:rsidRPr="00A214B0">
        <w:rPr>
          <w:rFonts w:ascii="Times New Roman" w:hAnsi="Times New Roman" w:cs="Times New Roman"/>
          <w:color w:val="000000" w:themeColor="text1"/>
          <w:sz w:val="24"/>
        </w:rPr>
        <w:t>×8%=</w:t>
      </w:r>
      <w:r w:rsidRPr="00A214B0">
        <w:rPr>
          <w:rFonts w:ascii="Times New Roman" w:hAnsi="Times New Roman" w:cs="Times New Roman" w:hint="eastAsia"/>
          <w:color w:val="000000" w:themeColor="text1"/>
          <w:sz w:val="24"/>
        </w:rPr>
        <w:t>2.4</w:t>
      </w:r>
      <w:r w:rsidRPr="00A214B0">
        <w:rPr>
          <w:rFonts w:ascii="Times New Roman" w:hAnsi="Times New Roman" w:cs="Times New Roman"/>
          <w:color w:val="000000" w:themeColor="text1"/>
          <w:sz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4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④</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管理风险</w:t>
      </w:r>
    </w:p>
    <w:tbl>
      <w:tblPr>
        <w:tblW w:w="8522" w:type="dxa"/>
        <w:tblLayout w:type="fixed"/>
        <w:tblLook w:val="04A0" w:firstRow="1" w:lastRow="0" w:firstColumn="1" w:lastColumn="0" w:noHBand="0" w:noVBand="1"/>
      </w:tblPr>
      <w:tblGrid>
        <w:gridCol w:w="653"/>
        <w:gridCol w:w="1602"/>
        <w:gridCol w:w="652"/>
        <w:gridCol w:w="820"/>
        <w:gridCol w:w="828"/>
        <w:gridCol w:w="828"/>
        <w:gridCol w:w="829"/>
        <w:gridCol w:w="828"/>
        <w:gridCol w:w="829"/>
        <w:gridCol w:w="653"/>
      </w:tblGrid>
      <w:tr w:rsidR="00D56508" w:rsidRPr="00A214B0">
        <w:trPr>
          <w:trHeight w:val="315"/>
        </w:trPr>
        <w:tc>
          <w:tcPr>
            <w:tcW w:w="65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权重</w:t>
            </w:r>
          </w:p>
        </w:tc>
        <w:tc>
          <w:tcPr>
            <w:tcW w:w="160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考虑因素</w:t>
            </w:r>
          </w:p>
        </w:tc>
        <w:tc>
          <w:tcPr>
            <w:tcW w:w="65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序号</w:t>
            </w:r>
          </w:p>
        </w:tc>
        <w:tc>
          <w:tcPr>
            <w:tcW w:w="4962"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分值</w:t>
            </w:r>
          </w:p>
        </w:tc>
        <w:tc>
          <w:tcPr>
            <w:tcW w:w="65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合计</w:t>
            </w:r>
          </w:p>
        </w:tc>
      </w:tr>
      <w:tr w:rsidR="00D56508" w:rsidRPr="00A214B0">
        <w:trPr>
          <w:trHeight w:val="315"/>
        </w:trPr>
        <w:tc>
          <w:tcPr>
            <w:tcW w:w="653" w:type="dxa"/>
            <w:vMerge/>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02"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652"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828"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80</w:t>
            </w:r>
          </w:p>
        </w:tc>
        <w:tc>
          <w:tcPr>
            <w:tcW w:w="828"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60</w:t>
            </w:r>
          </w:p>
        </w:tc>
        <w:tc>
          <w:tcPr>
            <w:tcW w:w="829"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28"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829"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c>
          <w:tcPr>
            <w:tcW w:w="653" w:type="dxa"/>
            <w:vMerge/>
            <w:tcBorders>
              <w:top w:val="single" w:sz="8" w:space="0" w:color="auto"/>
              <w:left w:val="single" w:sz="4" w:space="0" w:color="auto"/>
              <w:bottom w:val="single" w:sz="4" w:space="0" w:color="auto"/>
              <w:right w:val="single" w:sz="8"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0.4</w:t>
            </w:r>
          </w:p>
        </w:tc>
        <w:tc>
          <w:tcPr>
            <w:tcW w:w="1602"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销售服务风险</w:t>
            </w:r>
            <w:r w:rsidRPr="00A214B0">
              <w:rPr>
                <w:rFonts w:ascii="Times New Roman" w:hAnsi="Times New Roman" w:cs="Times New Roman"/>
                <w:color w:val="000000" w:themeColor="text1"/>
                <w:kern w:val="0"/>
                <w:sz w:val="18"/>
                <w:szCs w:val="18"/>
              </w:rPr>
              <w:t>1</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82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0.3</w:t>
            </w:r>
          </w:p>
        </w:tc>
        <w:tc>
          <w:tcPr>
            <w:tcW w:w="1602"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质量管理风险</w:t>
            </w:r>
            <w:r w:rsidRPr="00A214B0">
              <w:rPr>
                <w:rFonts w:ascii="Times New Roman" w:hAnsi="Times New Roman" w:cs="Times New Roman"/>
                <w:color w:val="000000" w:themeColor="text1"/>
                <w:kern w:val="0"/>
                <w:sz w:val="18"/>
                <w:szCs w:val="18"/>
              </w:rPr>
              <w:t>2</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820"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0.3</w:t>
            </w:r>
          </w:p>
        </w:tc>
        <w:tc>
          <w:tcPr>
            <w:tcW w:w="1602"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技术开发风险</w:t>
            </w:r>
            <w:r w:rsidRPr="00A214B0">
              <w:rPr>
                <w:rFonts w:ascii="Times New Roman" w:hAnsi="Times New Roman" w:cs="Times New Roman"/>
                <w:color w:val="000000" w:themeColor="text1"/>
                <w:kern w:val="0"/>
                <w:sz w:val="18"/>
                <w:szCs w:val="18"/>
              </w:rPr>
              <w:t>3</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3</w:t>
            </w:r>
          </w:p>
        </w:tc>
        <w:tc>
          <w:tcPr>
            <w:tcW w:w="820"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12</w:t>
            </w:r>
          </w:p>
        </w:tc>
      </w:tr>
      <w:tr w:rsidR="00D56508" w:rsidRPr="00A214B0">
        <w:trPr>
          <w:trHeight w:val="330"/>
        </w:trPr>
        <w:tc>
          <w:tcPr>
            <w:tcW w:w="653" w:type="dxa"/>
            <w:tcBorders>
              <w:top w:val="nil"/>
              <w:left w:val="single" w:sz="8" w:space="0" w:color="auto"/>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602"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c>
          <w:tcPr>
            <w:tcW w:w="652"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2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single" w:sz="4" w:space="0" w:color="auto"/>
              <w:left w:val="nil"/>
              <w:bottom w:val="single" w:sz="8"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r>
    </w:tbl>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安全服务风险：安全生产标准化一级已上线</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；安全生产标准化二级已上线，但安全生产标准化一级尚未上线</w:t>
      </w:r>
      <w:r w:rsidRPr="00A214B0">
        <w:rPr>
          <w:rFonts w:ascii="Times New Roman" w:hAnsi="Times New Roman" w:cs="Times New Roman"/>
          <w:color w:val="000000" w:themeColor="text1"/>
          <w:sz w:val="24"/>
          <w:szCs w:val="24"/>
        </w:rPr>
        <w:t>(20)</w:t>
      </w:r>
      <w:r w:rsidRPr="00A214B0">
        <w:rPr>
          <w:rFonts w:ascii="Times New Roman" w:hAnsi="Times New Roman" w:cs="Times New Roman"/>
          <w:color w:val="000000" w:themeColor="text1"/>
          <w:sz w:val="24"/>
          <w:szCs w:val="24"/>
        </w:rPr>
        <w:t>；建立仓储服务省级安全配套</w:t>
      </w:r>
      <w:r w:rsidRPr="00A214B0">
        <w:rPr>
          <w:rFonts w:ascii="Times New Roman" w:hAnsi="Times New Roman" w:cs="Times New Roman"/>
          <w:color w:val="000000" w:themeColor="text1"/>
          <w:sz w:val="24"/>
          <w:szCs w:val="24"/>
        </w:rPr>
        <w:t>(60)</w:t>
      </w:r>
      <w:r w:rsidRPr="00A214B0">
        <w:rPr>
          <w:rFonts w:ascii="Times New Roman" w:hAnsi="Times New Roman" w:cs="Times New Roman"/>
          <w:color w:val="000000" w:themeColor="text1"/>
          <w:sz w:val="24"/>
          <w:szCs w:val="24"/>
        </w:rPr>
        <w:t>；建立仓储相关的基本安全配套</w:t>
      </w:r>
      <w:r w:rsidRPr="00A214B0">
        <w:rPr>
          <w:rFonts w:ascii="Times New Roman" w:hAnsi="Times New Roman" w:cs="Times New Roman"/>
          <w:color w:val="000000" w:themeColor="text1"/>
          <w:sz w:val="24"/>
          <w:szCs w:val="24"/>
        </w:rPr>
        <w:t>(100)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rPr>
        <w:t>b</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szCs w:val="24"/>
        </w:rPr>
        <w:t>质量管理风险：质保体系建立完善，实施全过程质量控制</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；质保体系建立但不完善，大部分生产过程实施质量控制</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；质保体系尚待建立</w:t>
      </w:r>
      <w:r w:rsidRPr="00A214B0">
        <w:rPr>
          <w:rFonts w:ascii="Times New Roman" w:hAnsi="Times New Roman" w:cs="Times New Roman"/>
          <w:color w:val="000000" w:themeColor="text1"/>
          <w:sz w:val="24"/>
          <w:szCs w:val="24"/>
        </w:rPr>
        <w:t>(100)</w:t>
      </w:r>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szCs w:val="24"/>
        </w:rPr>
        <w:t>c.</w:t>
      </w:r>
      <w:r w:rsidRPr="00A214B0">
        <w:rPr>
          <w:rFonts w:ascii="Times New Roman" w:hAnsi="Times New Roman" w:cs="Times New Roman"/>
          <w:color w:val="000000" w:themeColor="text1"/>
          <w:sz w:val="24"/>
          <w:szCs w:val="24"/>
        </w:rPr>
        <w:t>技术开发风险：技术力量强，投入高</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；技术力量较强，投入较高</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；技术力量一般，有一定的投入</w:t>
      </w:r>
      <w:r w:rsidRPr="00A214B0">
        <w:rPr>
          <w:rFonts w:ascii="Times New Roman" w:hAnsi="Times New Roman" w:cs="Times New Roman"/>
          <w:color w:val="000000" w:themeColor="text1"/>
          <w:sz w:val="24"/>
          <w:szCs w:val="24"/>
        </w:rPr>
        <w:t>(60)</w:t>
      </w:r>
      <w:r w:rsidRPr="00A214B0">
        <w:rPr>
          <w:rFonts w:ascii="Times New Roman" w:hAnsi="Times New Roman" w:cs="Times New Roman"/>
          <w:color w:val="000000" w:themeColor="text1"/>
          <w:sz w:val="24"/>
          <w:szCs w:val="24"/>
        </w:rPr>
        <w:t>；技术力量弱，投入少</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rPr>
        <w:t>管理风险</w:t>
      </w:r>
      <w:r w:rsidRPr="00A214B0">
        <w:rPr>
          <w:rFonts w:ascii="Times New Roman" w:hAnsi="Times New Roman" w:cs="Times New Roman"/>
          <w:color w:val="000000" w:themeColor="text1"/>
          <w:sz w:val="24"/>
        </w:rPr>
        <w:t>=2</w:t>
      </w:r>
      <w:r w:rsidRPr="00A214B0">
        <w:rPr>
          <w:rFonts w:ascii="Times New Roman" w:hAnsi="Times New Roman" w:cs="Times New Roman" w:hint="eastAsia"/>
          <w:color w:val="000000" w:themeColor="text1"/>
          <w:sz w:val="24"/>
        </w:rPr>
        <w:t>0</w:t>
      </w:r>
      <w:r w:rsidRPr="00A214B0">
        <w:rPr>
          <w:rFonts w:ascii="Times New Roman" w:hAnsi="Times New Roman" w:cs="Times New Roman"/>
          <w:color w:val="000000" w:themeColor="text1"/>
          <w:sz w:val="24"/>
        </w:rPr>
        <w:t>%×8%=</w:t>
      </w:r>
      <w:r w:rsidRPr="00A214B0">
        <w:rPr>
          <w:rFonts w:ascii="Times New Roman" w:hAnsi="Times New Roman" w:cs="Times New Roman" w:hint="eastAsia"/>
          <w:color w:val="000000" w:themeColor="text1"/>
          <w:sz w:val="24"/>
        </w:rPr>
        <w:t>1.6</w:t>
      </w:r>
      <w:r w:rsidRPr="00A214B0">
        <w:rPr>
          <w:rFonts w:ascii="Times New Roman" w:hAnsi="Times New Roman" w:cs="Times New Roman"/>
          <w:color w:val="000000" w:themeColor="text1"/>
          <w:sz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⑤</w:t>
      </w:r>
      <w:r w:rsidRPr="00A214B0">
        <w:rPr>
          <w:rFonts w:ascii="Times New Roman" w:hAnsi="Times New Roman" w:cs="Times New Roman"/>
          <w:color w:val="000000" w:themeColor="text1"/>
          <w:sz w:val="24"/>
          <w:szCs w:val="24"/>
        </w:rPr>
        <w:t>资金风险</w:t>
      </w:r>
    </w:p>
    <w:tbl>
      <w:tblPr>
        <w:tblW w:w="8522" w:type="dxa"/>
        <w:tblLayout w:type="fixed"/>
        <w:tblLook w:val="04A0" w:firstRow="1" w:lastRow="0" w:firstColumn="1" w:lastColumn="0" w:noHBand="0" w:noVBand="1"/>
      </w:tblPr>
      <w:tblGrid>
        <w:gridCol w:w="653"/>
        <w:gridCol w:w="1602"/>
        <w:gridCol w:w="652"/>
        <w:gridCol w:w="820"/>
        <w:gridCol w:w="828"/>
        <w:gridCol w:w="828"/>
        <w:gridCol w:w="829"/>
        <w:gridCol w:w="828"/>
        <w:gridCol w:w="829"/>
        <w:gridCol w:w="653"/>
      </w:tblGrid>
      <w:tr w:rsidR="00D56508" w:rsidRPr="00A214B0">
        <w:trPr>
          <w:trHeight w:val="315"/>
          <w:tblHeader/>
        </w:trPr>
        <w:tc>
          <w:tcPr>
            <w:tcW w:w="65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权重</w:t>
            </w:r>
          </w:p>
        </w:tc>
        <w:tc>
          <w:tcPr>
            <w:tcW w:w="160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考虑因素</w:t>
            </w:r>
          </w:p>
        </w:tc>
        <w:tc>
          <w:tcPr>
            <w:tcW w:w="65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序号</w:t>
            </w:r>
          </w:p>
        </w:tc>
        <w:tc>
          <w:tcPr>
            <w:tcW w:w="4962"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分值</w:t>
            </w:r>
          </w:p>
        </w:tc>
        <w:tc>
          <w:tcPr>
            <w:tcW w:w="65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D56508" w:rsidRPr="00A214B0" w:rsidRDefault="00F1265B">
            <w:pPr>
              <w:widowControl/>
              <w:jc w:val="center"/>
              <w:rPr>
                <w:rFonts w:ascii="Times New Roman" w:hAnsi="Times New Roman" w:cs="Times New Roman"/>
                <w:b/>
                <w:color w:val="000000" w:themeColor="text1"/>
                <w:kern w:val="0"/>
                <w:sz w:val="18"/>
                <w:szCs w:val="18"/>
              </w:rPr>
            </w:pPr>
            <w:r w:rsidRPr="00A214B0">
              <w:rPr>
                <w:rFonts w:ascii="Times New Roman" w:hAnsi="Times New Roman" w:cs="Times New Roman"/>
                <w:b/>
                <w:color w:val="000000" w:themeColor="text1"/>
                <w:kern w:val="0"/>
                <w:sz w:val="18"/>
                <w:szCs w:val="18"/>
              </w:rPr>
              <w:t>合计</w:t>
            </w:r>
          </w:p>
        </w:tc>
      </w:tr>
      <w:tr w:rsidR="00D56508" w:rsidRPr="00A214B0">
        <w:trPr>
          <w:trHeight w:val="315"/>
          <w:tblHeader/>
        </w:trPr>
        <w:tc>
          <w:tcPr>
            <w:tcW w:w="653" w:type="dxa"/>
            <w:vMerge/>
            <w:tcBorders>
              <w:top w:val="single" w:sz="8" w:space="0" w:color="auto"/>
              <w:left w:val="single" w:sz="8"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1602"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652" w:type="dxa"/>
            <w:vMerge/>
            <w:tcBorders>
              <w:top w:val="single" w:sz="8" w:space="0" w:color="auto"/>
              <w:left w:val="single" w:sz="4" w:space="0" w:color="auto"/>
              <w:bottom w:val="single" w:sz="4" w:space="0" w:color="auto"/>
              <w:right w:val="single" w:sz="4" w:space="0" w:color="auto"/>
            </w:tcBorders>
            <w:shd w:val="clear" w:color="auto" w:fill="auto"/>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100</w:t>
            </w:r>
          </w:p>
        </w:tc>
        <w:tc>
          <w:tcPr>
            <w:tcW w:w="828"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80</w:t>
            </w:r>
          </w:p>
        </w:tc>
        <w:tc>
          <w:tcPr>
            <w:tcW w:w="828"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60</w:t>
            </w:r>
          </w:p>
        </w:tc>
        <w:tc>
          <w:tcPr>
            <w:tcW w:w="829"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28"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c>
          <w:tcPr>
            <w:tcW w:w="829" w:type="dxa"/>
            <w:tcBorders>
              <w:top w:val="single" w:sz="4" w:space="0" w:color="auto"/>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w:t>
            </w:r>
          </w:p>
        </w:tc>
        <w:tc>
          <w:tcPr>
            <w:tcW w:w="653" w:type="dxa"/>
            <w:vMerge/>
            <w:tcBorders>
              <w:top w:val="single" w:sz="8" w:space="0" w:color="auto"/>
              <w:left w:val="single" w:sz="4" w:space="0" w:color="auto"/>
              <w:bottom w:val="single" w:sz="4" w:space="0" w:color="auto"/>
              <w:right w:val="single" w:sz="8" w:space="0" w:color="auto"/>
            </w:tcBorders>
            <w:vAlign w:val="center"/>
          </w:tcPr>
          <w:p w:rsidR="00D56508" w:rsidRPr="00A214B0" w:rsidRDefault="00D56508">
            <w:pPr>
              <w:widowControl/>
              <w:jc w:val="left"/>
              <w:rPr>
                <w:rFonts w:ascii="Times New Roman" w:hAnsi="Times New Roman" w:cs="Times New Roman"/>
                <w:color w:val="000000" w:themeColor="text1"/>
                <w:kern w:val="0"/>
                <w:sz w:val="18"/>
                <w:szCs w:val="18"/>
              </w:rPr>
            </w:pP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0.5</w:t>
            </w:r>
          </w:p>
        </w:tc>
        <w:tc>
          <w:tcPr>
            <w:tcW w:w="1602"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融资风险</w:t>
            </w:r>
            <w:r w:rsidRPr="00A214B0">
              <w:rPr>
                <w:rFonts w:ascii="Times New Roman" w:hAnsi="Times New Roman" w:cs="Times New Roman"/>
                <w:color w:val="000000" w:themeColor="text1"/>
                <w:kern w:val="0"/>
                <w:sz w:val="18"/>
                <w:szCs w:val="18"/>
              </w:rPr>
              <w:t>1</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1</w:t>
            </w:r>
          </w:p>
        </w:tc>
        <w:tc>
          <w:tcPr>
            <w:tcW w:w="820" w:type="dxa"/>
            <w:tcBorders>
              <w:top w:val="nil"/>
              <w:left w:val="nil"/>
              <w:bottom w:val="single" w:sz="4"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r>
      <w:tr w:rsidR="00D56508" w:rsidRPr="00A214B0">
        <w:trPr>
          <w:trHeight w:val="315"/>
        </w:trPr>
        <w:tc>
          <w:tcPr>
            <w:tcW w:w="653" w:type="dxa"/>
            <w:tcBorders>
              <w:top w:val="nil"/>
              <w:left w:val="single" w:sz="8" w:space="0" w:color="auto"/>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0.5</w:t>
            </w:r>
          </w:p>
        </w:tc>
        <w:tc>
          <w:tcPr>
            <w:tcW w:w="1602" w:type="dxa"/>
            <w:tcBorders>
              <w:top w:val="nil"/>
              <w:left w:val="single" w:sz="4" w:space="0" w:color="auto"/>
              <w:bottom w:val="single" w:sz="4"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流动资金风险</w:t>
            </w:r>
            <w:r w:rsidRPr="00A214B0">
              <w:rPr>
                <w:rFonts w:ascii="Times New Roman" w:hAnsi="Times New Roman" w:cs="Times New Roman"/>
                <w:color w:val="000000" w:themeColor="text1"/>
                <w:kern w:val="0"/>
                <w:sz w:val="18"/>
                <w:szCs w:val="18"/>
              </w:rPr>
              <w:t>2</w:t>
            </w:r>
          </w:p>
        </w:tc>
        <w:tc>
          <w:tcPr>
            <w:tcW w:w="652"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w:t>
            </w:r>
          </w:p>
        </w:tc>
        <w:tc>
          <w:tcPr>
            <w:tcW w:w="820" w:type="dxa"/>
            <w:tcBorders>
              <w:top w:val="nil"/>
              <w:left w:val="nil"/>
              <w:bottom w:val="single" w:sz="4"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color w:val="000000" w:themeColor="text1"/>
                <w:kern w:val="0"/>
                <w:sz w:val="18"/>
                <w:szCs w:val="18"/>
              </w:rPr>
            </w:pP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c>
          <w:tcPr>
            <w:tcW w:w="828"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nil"/>
              <w:left w:val="nil"/>
              <w:bottom w:val="single" w:sz="4"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nil"/>
              <w:left w:val="nil"/>
              <w:bottom w:val="single" w:sz="4"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20</w:t>
            </w:r>
          </w:p>
        </w:tc>
      </w:tr>
      <w:tr w:rsidR="00D56508" w:rsidRPr="00A214B0">
        <w:trPr>
          <w:trHeight w:val="330"/>
        </w:trPr>
        <w:tc>
          <w:tcPr>
            <w:tcW w:w="653" w:type="dxa"/>
            <w:tcBorders>
              <w:top w:val="nil"/>
              <w:left w:val="single" w:sz="8" w:space="0" w:color="auto"/>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1602"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left"/>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合计</w:t>
            </w:r>
          </w:p>
        </w:tc>
        <w:tc>
          <w:tcPr>
            <w:tcW w:w="652"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 xml:space="preserve">　</w:t>
            </w:r>
          </w:p>
        </w:tc>
        <w:tc>
          <w:tcPr>
            <w:tcW w:w="820"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color w:val="000000" w:themeColor="text1"/>
                <w:kern w:val="0"/>
                <w:sz w:val="18"/>
                <w:szCs w:val="18"/>
              </w:rPr>
            </w:pPr>
          </w:p>
        </w:tc>
        <w:tc>
          <w:tcPr>
            <w:tcW w:w="828"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jc w:val="center"/>
              <w:rPr>
                <w:rFonts w:ascii="Times New Roman" w:hAnsi="Times New Roman" w:cs="Times New Roman"/>
                <w:color w:val="000000" w:themeColor="text1"/>
                <w:kern w:val="0"/>
                <w:sz w:val="18"/>
                <w:szCs w:val="18"/>
              </w:rPr>
            </w:pPr>
          </w:p>
        </w:tc>
        <w:tc>
          <w:tcPr>
            <w:tcW w:w="828"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8"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829" w:type="dxa"/>
            <w:tcBorders>
              <w:top w:val="single" w:sz="4" w:space="0" w:color="auto"/>
              <w:left w:val="nil"/>
              <w:bottom w:val="single" w:sz="8" w:space="0" w:color="auto"/>
              <w:right w:val="single" w:sz="4" w:space="0" w:color="auto"/>
            </w:tcBorders>
            <w:shd w:val="clear" w:color="auto" w:fill="auto"/>
            <w:vAlign w:val="bottom"/>
          </w:tcPr>
          <w:p w:rsidR="00D56508" w:rsidRPr="00A214B0" w:rsidRDefault="00D56508">
            <w:pPr>
              <w:widowControl/>
              <w:jc w:val="center"/>
              <w:rPr>
                <w:rFonts w:ascii="Times New Roman" w:hAnsi="Times New Roman" w:cs="Times New Roman"/>
                <w:color w:val="000000" w:themeColor="text1"/>
                <w:kern w:val="0"/>
                <w:sz w:val="18"/>
                <w:szCs w:val="18"/>
              </w:rPr>
            </w:pPr>
          </w:p>
        </w:tc>
        <w:tc>
          <w:tcPr>
            <w:tcW w:w="653" w:type="dxa"/>
            <w:tcBorders>
              <w:top w:val="single" w:sz="4" w:space="0" w:color="auto"/>
              <w:left w:val="nil"/>
              <w:bottom w:val="single" w:sz="8" w:space="0" w:color="auto"/>
              <w:right w:val="single" w:sz="8" w:space="0" w:color="auto"/>
            </w:tcBorders>
            <w:shd w:val="clear" w:color="auto" w:fill="auto"/>
            <w:vAlign w:val="bottom"/>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40</w:t>
            </w:r>
          </w:p>
        </w:tc>
      </w:tr>
    </w:tbl>
    <w:p w:rsidR="00D56508" w:rsidRPr="00A214B0" w:rsidRDefault="00F1265B">
      <w:pPr>
        <w:adjustRightInd w:val="0"/>
        <w:snapToGrid w:val="0"/>
        <w:spacing w:beforeLines="50" w:before="250"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取值说明：</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a</w:t>
      </w:r>
      <w:r w:rsidRPr="00A214B0">
        <w:rPr>
          <w:rFonts w:ascii="Times New Roman" w:hAnsi="Times New Roman" w:cs="Times New Roman"/>
          <w:color w:val="000000" w:themeColor="text1"/>
          <w:sz w:val="24"/>
          <w:szCs w:val="24"/>
        </w:rPr>
        <w:t>．融资风险。项目的投资额低（</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）；项目的投资额中等（</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）；项目的投资额高（</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b</w:t>
      </w:r>
      <w:r w:rsidRPr="00A214B0">
        <w:rPr>
          <w:rFonts w:ascii="Times New Roman" w:hAnsi="Times New Roman" w:cs="Times New Roman"/>
          <w:color w:val="000000" w:themeColor="text1"/>
          <w:sz w:val="24"/>
          <w:szCs w:val="24"/>
        </w:rPr>
        <w:t>．流动资金风险。项目的流动资金低（</w:t>
      </w:r>
      <w:r w:rsidRPr="00A214B0">
        <w:rPr>
          <w:rFonts w:ascii="Times New Roman" w:hAnsi="Times New Roman" w:cs="Times New Roman"/>
          <w:color w:val="000000" w:themeColor="text1"/>
          <w:sz w:val="24"/>
          <w:szCs w:val="24"/>
        </w:rPr>
        <w:t>0</w:t>
      </w:r>
      <w:r w:rsidRPr="00A214B0">
        <w:rPr>
          <w:rFonts w:ascii="Times New Roman" w:hAnsi="Times New Roman" w:cs="Times New Roman"/>
          <w:color w:val="000000" w:themeColor="text1"/>
          <w:sz w:val="24"/>
          <w:szCs w:val="24"/>
        </w:rPr>
        <w:t>）；项目的流动资金中等（</w:t>
      </w:r>
      <w:r w:rsidRPr="00A214B0">
        <w:rPr>
          <w:rFonts w:ascii="Times New Roman" w:hAnsi="Times New Roman" w:cs="Times New Roman"/>
          <w:color w:val="000000" w:themeColor="text1"/>
          <w:sz w:val="24"/>
          <w:szCs w:val="24"/>
        </w:rPr>
        <w:t>40</w:t>
      </w:r>
      <w:r w:rsidRPr="00A214B0">
        <w:rPr>
          <w:rFonts w:ascii="Times New Roman" w:hAnsi="Times New Roman" w:cs="Times New Roman"/>
          <w:color w:val="000000" w:themeColor="text1"/>
          <w:sz w:val="24"/>
          <w:szCs w:val="24"/>
        </w:rPr>
        <w:t>）；项目的流动资金高（</w:t>
      </w:r>
      <w:r w:rsidRPr="00A214B0">
        <w:rPr>
          <w:rFonts w:ascii="Times New Roman" w:hAnsi="Times New Roman" w:cs="Times New Roman"/>
          <w:color w:val="000000" w:themeColor="text1"/>
          <w:sz w:val="24"/>
          <w:szCs w:val="24"/>
        </w:rPr>
        <w:t>100</w:t>
      </w:r>
      <w:r w:rsidRPr="00A214B0">
        <w:rPr>
          <w:rFonts w:ascii="Times New Roman" w:hAnsi="Times New Roman" w:cs="Times New Roman"/>
          <w:color w:val="000000" w:themeColor="text1"/>
          <w:sz w:val="24"/>
          <w:szCs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资金风险＝</w:t>
      </w:r>
      <w:r w:rsidRPr="00A214B0">
        <w:rPr>
          <w:rFonts w:ascii="Times New Roman" w:hAnsi="Times New Roman" w:cs="Times New Roman" w:hint="eastAsia"/>
          <w:color w:val="000000" w:themeColor="text1"/>
          <w:sz w:val="24"/>
        </w:rPr>
        <w:t>4</w:t>
      </w:r>
      <w:r w:rsidRPr="00A214B0">
        <w:rPr>
          <w:rFonts w:ascii="Times New Roman" w:hAnsi="Times New Roman" w:cs="Times New Roman"/>
          <w:color w:val="000000" w:themeColor="text1"/>
          <w:sz w:val="24"/>
        </w:rPr>
        <w:t>0%×8%=</w:t>
      </w:r>
      <w:r w:rsidRPr="00A214B0">
        <w:rPr>
          <w:rFonts w:ascii="Times New Roman" w:hAnsi="Times New Roman" w:cs="Times New Roman" w:hint="eastAsia"/>
          <w:color w:val="000000" w:themeColor="text1"/>
          <w:sz w:val="24"/>
        </w:rPr>
        <w:t>3.2</w:t>
      </w:r>
      <w:r w:rsidRPr="00A214B0">
        <w:rPr>
          <w:rFonts w:ascii="Times New Roman" w:hAnsi="Times New Roman" w:cs="Times New Roman"/>
          <w:color w:val="000000" w:themeColor="text1"/>
          <w:sz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无形资产折现率</w:t>
      </w:r>
      <w:r w:rsidRPr="00A214B0">
        <w:rPr>
          <w:rFonts w:ascii="Times New Roman" w:hAnsi="Times New Roman" w:cs="Times New Roman"/>
          <w:color w:val="000000" w:themeColor="text1"/>
          <w:sz w:val="24"/>
          <w:szCs w:val="24"/>
        </w:rPr>
        <w:t>=</w:t>
      </w:r>
      <w:r w:rsidRPr="00A214B0">
        <w:rPr>
          <w:rFonts w:ascii="Times New Roman" w:hAnsi="Times New Roman" w:cs="Times New Roman" w:hint="eastAsia"/>
          <w:color w:val="000000" w:themeColor="text1"/>
          <w:sz w:val="24"/>
          <w:szCs w:val="24"/>
        </w:rPr>
        <w:t>15.14</w:t>
      </w:r>
      <w:r w:rsidRPr="00A214B0">
        <w:rPr>
          <w:rFonts w:ascii="Times New Roman" w:hAnsi="Times New Roman" w:cs="Times New Roman"/>
          <w:color w:val="000000" w:themeColor="text1"/>
          <w:sz w:val="24"/>
          <w:szCs w:val="24"/>
        </w:rPr>
        <w:t>%</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t>该折现率为税前折现率。</w:t>
      </w:r>
    </w:p>
    <w:p w:rsidR="00D56508" w:rsidRPr="00A214B0" w:rsidRDefault="00F1265B">
      <w:pPr>
        <w:snapToGrid w:val="0"/>
        <w:spacing w:line="360" w:lineRule="auto"/>
        <w:ind w:firstLineChars="200" w:firstLine="480"/>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szCs w:val="24"/>
        </w:rPr>
        <w:fldChar w:fldCharType="begin"/>
      </w:r>
      <w:r w:rsidRPr="00A214B0">
        <w:rPr>
          <w:rFonts w:ascii="Times New Roman" w:hAnsi="Times New Roman" w:cs="Times New Roman"/>
          <w:color w:val="000000" w:themeColor="text1"/>
          <w:sz w:val="24"/>
          <w:szCs w:val="24"/>
        </w:rPr>
        <w:instrText xml:space="preserve"> = 7 \* GB3 </w:instrText>
      </w:r>
      <w:r w:rsidRPr="00A214B0">
        <w:rPr>
          <w:rFonts w:ascii="Times New Roman" w:hAnsi="Times New Roman" w:cs="Times New Roman"/>
          <w:color w:val="000000" w:themeColor="text1"/>
          <w:sz w:val="24"/>
          <w:szCs w:val="24"/>
        </w:rPr>
        <w:fldChar w:fldCharType="separate"/>
      </w:r>
      <w:r w:rsidRPr="00A214B0">
        <w:rPr>
          <w:rFonts w:ascii="Times New Roman" w:hAnsi="Times New Roman" w:cs="Times New Roman"/>
          <w:color w:val="000000" w:themeColor="text1"/>
          <w:sz w:val="24"/>
          <w:szCs w:val="24"/>
        </w:rPr>
        <w:t>⑦</w:t>
      </w:r>
      <w:r w:rsidRPr="00A214B0">
        <w:rPr>
          <w:rFonts w:ascii="Times New Roman" w:hAnsi="Times New Roman" w:cs="Times New Roman"/>
          <w:color w:val="000000" w:themeColor="text1"/>
          <w:sz w:val="24"/>
          <w:szCs w:val="24"/>
        </w:rPr>
        <w:fldChar w:fldCharType="end"/>
      </w:r>
      <w:r w:rsidRPr="00A214B0">
        <w:rPr>
          <w:rFonts w:ascii="Times New Roman" w:hAnsi="Times New Roman" w:cs="Times New Roman"/>
          <w:color w:val="000000" w:themeColor="text1"/>
          <w:sz w:val="24"/>
          <w:szCs w:val="24"/>
        </w:rPr>
        <w:t>专利权评估值的确定</w:t>
      </w:r>
    </w:p>
    <w:p w:rsidR="00D56508" w:rsidRPr="00A214B0" w:rsidRDefault="00F1265B">
      <w:pPr>
        <w:snapToGrid w:val="0"/>
        <w:spacing w:line="360" w:lineRule="auto"/>
        <w:ind w:firstLineChars="200" w:firstLine="360"/>
        <w:jc w:val="right"/>
        <w:rPr>
          <w:rFonts w:ascii="Times New Roman" w:hAnsi="Times New Roman" w:cs="Times New Roman"/>
          <w:color w:val="000000" w:themeColor="text1"/>
          <w:sz w:val="18"/>
          <w:szCs w:val="24"/>
        </w:rPr>
      </w:pPr>
      <w:r w:rsidRPr="00A214B0">
        <w:rPr>
          <w:rFonts w:ascii="Times New Roman" w:hAnsi="Times New Roman" w:cs="Times New Roman"/>
          <w:color w:val="000000" w:themeColor="text1"/>
          <w:sz w:val="18"/>
          <w:szCs w:val="24"/>
        </w:rPr>
        <w:t>单位：万元</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19"/>
        <w:gridCol w:w="1620"/>
        <w:gridCol w:w="1740"/>
        <w:gridCol w:w="1815"/>
      </w:tblGrid>
      <w:tr w:rsidR="00D56508" w:rsidRPr="00A214B0">
        <w:trPr>
          <w:trHeight w:hRule="exact" w:val="454"/>
        </w:trPr>
        <w:tc>
          <w:tcPr>
            <w:tcW w:w="1955" w:type="dxa"/>
            <w:shd w:val="clear" w:color="auto" w:fill="auto"/>
            <w:vAlign w:val="center"/>
          </w:tcPr>
          <w:p w:rsidR="00D56508" w:rsidRPr="00A214B0" w:rsidRDefault="00F1265B">
            <w:pPr>
              <w:widowControl/>
              <w:jc w:val="center"/>
              <w:rPr>
                <w:rFonts w:ascii="Times New Roman" w:hAnsi="Times New Roman" w:cs="Times New Roman"/>
                <w:bCs/>
                <w:color w:val="000000" w:themeColor="text1"/>
                <w:kern w:val="0"/>
                <w:sz w:val="18"/>
                <w:szCs w:val="18"/>
              </w:rPr>
            </w:pPr>
            <w:r w:rsidRPr="00A214B0">
              <w:rPr>
                <w:rFonts w:ascii="Times New Roman" w:hAnsi="Times New Roman" w:cs="Times New Roman"/>
                <w:bCs/>
                <w:color w:val="000000" w:themeColor="text1"/>
                <w:kern w:val="0"/>
                <w:sz w:val="18"/>
                <w:szCs w:val="18"/>
              </w:rPr>
              <w:t>项目</w:t>
            </w:r>
          </w:p>
        </w:tc>
        <w:tc>
          <w:tcPr>
            <w:tcW w:w="1919" w:type="dxa"/>
            <w:shd w:val="clear" w:color="auto" w:fill="auto"/>
            <w:vAlign w:val="center"/>
          </w:tcPr>
          <w:p w:rsidR="00D56508" w:rsidRPr="00A214B0" w:rsidRDefault="00F1265B">
            <w:pPr>
              <w:widowControl/>
              <w:jc w:val="center"/>
              <w:textAlignment w:val="center"/>
              <w:rPr>
                <w:rFonts w:ascii="Times New Roman" w:hAnsi="Times New Roman" w:cs="Times New Roman"/>
                <w:bCs/>
                <w:color w:val="000000" w:themeColor="text1"/>
                <w:kern w:val="0"/>
                <w:sz w:val="18"/>
                <w:szCs w:val="18"/>
              </w:rPr>
            </w:pPr>
            <w:r w:rsidRPr="00A214B0">
              <w:rPr>
                <w:rFonts w:ascii="Times New Roman" w:eastAsia="Tahoma" w:hAnsi="Times New Roman" w:cs="Times New Roman"/>
                <w:b/>
                <w:color w:val="000000" w:themeColor="text1"/>
                <w:kern w:val="0"/>
                <w:sz w:val="18"/>
                <w:szCs w:val="18"/>
                <w:lang w:bidi="ar"/>
              </w:rPr>
              <w:t xml:space="preserve"> 201</w:t>
            </w:r>
            <w:r w:rsidRPr="00A214B0">
              <w:rPr>
                <w:rFonts w:ascii="Times New Roman" w:eastAsia="宋体" w:hAnsi="Times New Roman" w:cs="Times New Roman"/>
                <w:b/>
                <w:color w:val="000000" w:themeColor="text1"/>
                <w:kern w:val="0"/>
                <w:sz w:val="18"/>
                <w:szCs w:val="18"/>
                <w:lang w:bidi="ar"/>
              </w:rPr>
              <w:t>9</w:t>
            </w:r>
            <w:r w:rsidRPr="00A214B0">
              <w:rPr>
                <w:rFonts w:ascii="Times New Roman" w:eastAsia="Microsoft YaHei UI" w:hAnsi="Times New Roman" w:cs="Times New Roman"/>
                <w:b/>
                <w:color w:val="000000" w:themeColor="text1"/>
                <w:kern w:val="0"/>
                <w:sz w:val="18"/>
                <w:szCs w:val="18"/>
                <w:lang w:bidi="ar"/>
              </w:rPr>
              <w:t>年</w:t>
            </w:r>
            <w:r w:rsidRPr="00A214B0">
              <w:rPr>
                <w:rFonts w:ascii="Times New Roman" w:eastAsia="宋体" w:hAnsi="Times New Roman" w:cs="Times New Roman"/>
                <w:b/>
                <w:color w:val="000000" w:themeColor="text1"/>
                <w:kern w:val="0"/>
                <w:sz w:val="18"/>
                <w:szCs w:val="18"/>
                <w:lang w:bidi="ar"/>
              </w:rPr>
              <w:t>5</w:t>
            </w:r>
            <w:r w:rsidRPr="00A214B0">
              <w:rPr>
                <w:rFonts w:ascii="Times New Roman" w:eastAsia="Tahoma" w:hAnsi="Times New Roman" w:cs="Times New Roman"/>
                <w:b/>
                <w:color w:val="000000" w:themeColor="text1"/>
                <w:kern w:val="0"/>
                <w:sz w:val="18"/>
                <w:szCs w:val="18"/>
                <w:lang w:bidi="ar"/>
              </w:rPr>
              <w:t>-12</w:t>
            </w:r>
            <w:r w:rsidRPr="00A214B0">
              <w:rPr>
                <w:rFonts w:ascii="Times New Roman" w:eastAsia="Microsoft YaHei UI" w:hAnsi="Times New Roman" w:cs="Times New Roman"/>
                <w:b/>
                <w:color w:val="000000" w:themeColor="text1"/>
                <w:kern w:val="0"/>
                <w:sz w:val="18"/>
                <w:szCs w:val="18"/>
                <w:lang w:bidi="ar"/>
              </w:rPr>
              <w:t>月</w:t>
            </w:r>
          </w:p>
        </w:tc>
        <w:tc>
          <w:tcPr>
            <w:tcW w:w="1620" w:type="dxa"/>
            <w:shd w:val="clear" w:color="auto" w:fill="auto"/>
            <w:vAlign w:val="center"/>
          </w:tcPr>
          <w:p w:rsidR="00D56508" w:rsidRPr="00A214B0" w:rsidRDefault="00F1265B">
            <w:pPr>
              <w:widowControl/>
              <w:jc w:val="center"/>
              <w:textAlignment w:val="center"/>
              <w:rPr>
                <w:rFonts w:ascii="Times New Roman" w:hAnsi="Times New Roman" w:cs="Times New Roman"/>
                <w:bCs/>
                <w:color w:val="000000" w:themeColor="text1"/>
                <w:kern w:val="0"/>
                <w:sz w:val="18"/>
                <w:szCs w:val="18"/>
              </w:rPr>
            </w:pPr>
            <w:r w:rsidRPr="00A214B0">
              <w:rPr>
                <w:rFonts w:ascii="Times New Roman" w:eastAsia="Tahoma" w:hAnsi="Times New Roman" w:cs="Times New Roman"/>
                <w:b/>
                <w:color w:val="000000" w:themeColor="text1"/>
                <w:kern w:val="0"/>
                <w:sz w:val="18"/>
                <w:szCs w:val="18"/>
                <w:lang w:bidi="ar"/>
              </w:rPr>
              <w:t xml:space="preserve"> 202</w:t>
            </w:r>
            <w:r w:rsidRPr="00A214B0">
              <w:rPr>
                <w:rFonts w:ascii="Times New Roman" w:eastAsia="宋体" w:hAnsi="Times New Roman" w:cs="Times New Roman"/>
                <w:b/>
                <w:color w:val="000000" w:themeColor="text1"/>
                <w:kern w:val="0"/>
                <w:sz w:val="18"/>
                <w:szCs w:val="18"/>
                <w:lang w:bidi="ar"/>
              </w:rPr>
              <w:t>0</w:t>
            </w:r>
            <w:r w:rsidRPr="00A214B0">
              <w:rPr>
                <w:rFonts w:ascii="Times New Roman" w:eastAsia="Microsoft YaHei UI" w:hAnsi="Times New Roman" w:cs="Times New Roman"/>
                <w:b/>
                <w:color w:val="000000" w:themeColor="text1"/>
                <w:kern w:val="0"/>
                <w:sz w:val="18"/>
                <w:szCs w:val="18"/>
                <w:lang w:bidi="ar"/>
              </w:rPr>
              <w:t>年</w:t>
            </w:r>
            <w:r w:rsidRPr="00A214B0">
              <w:rPr>
                <w:rFonts w:ascii="Times New Roman" w:eastAsia="Tahoma" w:hAnsi="Times New Roman" w:cs="Times New Roman"/>
                <w:b/>
                <w:color w:val="000000" w:themeColor="text1"/>
                <w:kern w:val="0"/>
                <w:sz w:val="18"/>
                <w:szCs w:val="18"/>
                <w:lang w:bidi="ar"/>
              </w:rPr>
              <w:t xml:space="preserve"> </w:t>
            </w:r>
          </w:p>
        </w:tc>
        <w:tc>
          <w:tcPr>
            <w:tcW w:w="174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1</w:t>
            </w:r>
            <w:r w:rsidRPr="00A214B0">
              <w:rPr>
                <w:rFonts w:ascii="Times New Roman" w:eastAsia="Microsoft YaHei UI" w:hAnsi="Times New Roman" w:cs="Times New Roman"/>
                <w:b/>
                <w:color w:val="000000" w:themeColor="text1"/>
                <w:kern w:val="0"/>
                <w:sz w:val="18"/>
                <w:szCs w:val="18"/>
                <w:lang w:bidi="ar"/>
              </w:rPr>
              <w:t>年</w:t>
            </w:r>
          </w:p>
        </w:tc>
        <w:tc>
          <w:tcPr>
            <w:tcW w:w="1815"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b/>
                <w:color w:val="000000" w:themeColor="text1"/>
                <w:kern w:val="0"/>
                <w:sz w:val="18"/>
                <w:szCs w:val="18"/>
                <w:lang w:bidi="ar"/>
              </w:rPr>
              <w:t>202</w:t>
            </w:r>
            <w:r w:rsidRPr="00A214B0">
              <w:rPr>
                <w:rFonts w:ascii="Times New Roman" w:eastAsia="宋体" w:hAnsi="Times New Roman" w:cs="Times New Roman"/>
                <w:b/>
                <w:color w:val="000000" w:themeColor="text1"/>
                <w:kern w:val="0"/>
                <w:sz w:val="18"/>
                <w:szCs w:val="18"/>
                <w:lang w:bidi="ar"/>
              </w:rPr>
              <w:t>2</w:t>
            </w:r>
            <w:r w:rsidRPr="00A214B0">
              <w:rPr>
                <w:rFonts w:ascii="Times New Roman" w:eastAsia="Microsoft YaHei UI" w:hAnsi="Times New Roman" w:cs="Times New Roman"/>
                <w:b/>
                <w:color w:val="000000" w:themeColor="text1"/>
                <w:kern w:val="0"/>
                <w:sz w:val="18"/>
                <w:szCs w:val="18"/>
                <w:lang w:bidi="ar"/>
              </w:rPr>
              <w:t>年</w:t>
            </w:r>
          </w:p>
        </w:tc>
      </w:tr>
      <w:tr w:rsidR="00D56508" w:rsidRPr="00A214B0">
        <w:trPr>
          <w:trHeight w:hRule="exact" w:val="454"/>
        </w:trPr>
        <w:tc>
          <w:tcPr>
            <w:tcW w:w="1955" w:type="dxa"/>
            <w:shd w:val="clear" w:color="auto" w:fill="auto"/>
            <w:vAlign w:val="center"/>
          </w:tcPr>
          <w:p w:rsidR="00D56508" w:rsidRPr="00A214B0" w:rsidRDefault="00F1265B">
            <w:pPr>
              <w:widowControl/>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对应仓储收入</w:t>
            </w:r>
          </w:p>
        </w:tc>
        <w:tc>
          <w:tcPr>
            <w:tcW w:w="1919"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5,416.04 </w:t>
            </w:r>
          </w:p>
        </w:tc>
        <w:tc>
          <w:tcPr>
            <w:tcW w:w="162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10,143.30 </w:t>
            </w:r>
          </w:p>
        </w:tc>
        <w:tc>
          <w:tcPr>
            <w:tcW w:w="174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10,751.90 </w:t>
            </w:r>
          </w:p>
        </w:tc>
        <w:tc>
          <w:tcPr>
            <w:tcW w:w="1815"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11,289.49 </w:t>
            </w:r>
          </w:p>
        </w:tc>
      </w:tr>
      <w:tr w:rsidR="00D56508" w:rsidRPr="00A214B0">
        <w:trPr>
          <w:trHeight w:hRule="exact" w:val="454"/>
        </w:trPr>
        <w:tc>
          <w:tcPr>
            <w:tcW w:w="1955" w:type="dxa"/>
            <w:shd w:val="clear" w:color="auto" w:fill="auto"/>
          </w:tcPr>
          <w:p w:rsidR="00D56508" w:rsidRPr="00A214B0" w:rsidRDefault="00F1265B">
            <w:pPr>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综合分成率</w:t>
            </w:r>
          </w:p>
        </w:tc>
        <w:tc>
          <w:tcPr>
            <w:tcW w:w="1919"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1.05%</w:t>
            </w:r>
          </w:p>
        </w:tc>
        <w:tc>
          <w:tcPr>
            <w:tcW w:w="162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0.94%</w:t>
            </w:r>
          </w:p>
        </w:tc>
        <w:tc>
          <w:tcPr>
            <w:tcW w:w="174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0.85%</w:t>
            </w:r>
          </w:p>
        </w:tc>
        <w:tc>
          <w:tcPr>
            <w:tcW w:w="1815"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0.76%</w:t>
            </w:r>
          </w:p>
        </w:tc>
      </w:tr>
      <w:tr w:rsidR="00D56508" w:rsidRPr="00A214B0">
        <w:trPr>
          <w:trHeight w:hRule="exact" w:val="454"/>
        </w:trPr>
        <w:tc>
          <w:tcPr>
            <w:tcW w:w="1955" w:type="dxa"/>
            <w:shd w:val="clear" w:color="auto" w:fill="auto"/>
          </w:tcPr>
          <w:p w:rsidR="00D56508" w:rsidRPr="00A214B0" w:rsidRDefault="00F1265B">
            <w:pPr>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贡献</w:t>
            </w:r>
          </w:p>
        </w:tc>
        <w:tc>
          <w:tcPr>
            <w:tcW w:w="1919"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56.77 </w:t>
            </w:r>
          </w:p>
        </w:tc>
        <w:tc>
          <w:tcPr>
            <w:tcW w:w="162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95.69 </w:t>
            </w:r>
          </w:p>
        </w:tc>
        <w:tc>
          <w:tcPr>
            <w:tcW w:w="174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91.29 </w:t>
            </w:r>
          </w:p>
        </w:tc>
        <w:tc>
          <w:tcPr>
            <w:tcW w:w="1815"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86.27 </w:t>
            </w:r>
          </w:p>
        </w:tc>
      </w:tr>
      <w:tr w:rsidR="00D56508" w:rsidRPr="00A214B0">
        <w:trPr>
          <w:trHeight w:hRule="exact" w:val="454"/>
        </w:trPr>
        <w:tc>
          <w:tcPr>
            <w:tcW w:w="1955" w:type="dxa"/>
            <w:shd w:val="clear" w:color="auto" w:fill="auto"/>
          </w:tcPr>
          <w:p w:rsidR="00D56508" w:rsidRPr="00A214B0" w:rsidRDefault="00F1265B">
            <w:pPr>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折现系数</w:t>
            </w:r>
          </w:p>
        </w:tc>
        <w:tc>
          <w:tcPr>
            <w:tcW w:w="1919"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0.9541 </w:t>
            </w:r>
          </w:p>
        </w:tc>
        <w:tc>
          <w:tcPr>
            <w:tcW w:w="162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0.8483 </w:t>
            </w:r>
          </w:p>
        </w:tc>
        <w:tc>
          <w:tcPr>
            <w:tcW w:w="174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0.7368 </w:t>
            </w:r>
          </w:p>
        </w:tc>
        <w:tc>
          <w:tcPr>
            <w:tcW w:w="1815"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 0.6399 </w:t>
            </w:r>
          </w:p>
        </w:tc>
      </w:tr>
      <w:tr w:rsidR="00D56508" w:rsidRPr="00A214B0">
        <w:trPr>
          <w:trHeight w:hRule="exact" w:val="454"/>
        </w:trPr>
        <w:tc>
          <w:tcPr>
            <w:tcW w:w="1955" w:type="dxa"/>
            <w:shd w:val="clear" w:color="auto" w:fill="auto"/>
          </w:tcPr>
          <w:p w:rsidR="00D56508" w:rsidRPr="00A214B0" w:rsidRDefault="00F1265B">
            <w:pPr>
              <w:jc w:val="center"/>
              <w:rPr>
                <w:rFonts w:ascii="Times New Roman" w:hAnsi="Times New Roman" w:cs="Times New Roman"/>
                <w:color w:val="000000" w:themeColor="text1"/>
                <w:kern w:val="0"/>
                <w:sz w:val="18"/>
                <w:szCs w:val="18"/>
              </w:rPr>
            </w:pPr>
            <w:r w:rsidRPr="00A214B0">
              <w:rPr>
                <w:rFonts w:ascii="Times New Roman" w:hAnsi="Times New Roman" w:cs="Times New Roman"/>
                <w:color w:val="000000" w:themeColor="text1"/>
                <w:kern w:val="0"/>
                <w:sz w:val="18"/>
                <w:szCs w:val="18"/>
              </w:rPr>
              <w:t>专利权贡献现值和</w:t>
            </w:r>
          </w:p>
        </w:tc>
        <w:tc>
          <w:tcPr>
            <w:tcW w:w="1919"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54.16 </w:t>
            </w:r>
          </w:p>
        </w:tc>
        <w:tc>
          <w:tcPr>
            <w:tcW w:w="162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81.18 </w:t>
            </w:r>
          </w:p>
        </w:tc>
        <w:tc>
          <w:tcPr>
            <w:tcW w:w="1740"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67.26 </w:t>
            </w:r>
          </w:p>
        </w:tc>
        <w:tc>
          <w:tcPr>
            <w:tcW w:w="1815" w:type="dxa"/>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55.20 </w:t>
            </w:r>
          </w:p>
        </w:tc>
      </w:tr>
      <w:tr w:rsidR="00D56508" w:rsidRPr="00A214B0">
        <w:trPr>
          <w:trHeight w:hRule="exact" w:val="454"/>
        </w:trPr>
        <w:tc>
          <w:tcPr>
            <w:tcW w:w="1955" w:type="dxa"/>
            <w:shd w:val="clear" w:color="auto" w:fill="auto"/>
          </w:tcPr>
          <w:p w:rsidR="00D56508" w:rsidRPr="00A214B0" w:rsidRDefault="00F1265B">
            <w:pPr>
              <w:jc w:val="center"/>
              <w:rPr>
                <w:rFonts w:ascii="Times New Roman" w:hAnsi="Times New Roman" w:cs="Times New Roman"/>
                <w:b/>
                <w:bCs/>
                <w:color w:val="000000" w:themeColor="text1"/>
                <w:kern w:val="0"/>
                <w:sz w:val="18"/>
                <w:szCs w:val="18"/>
              </w:rPr>
            </w:pPr>
            <w:r w:rsidRPr="00A214B0">
              <w:rPr>
                <w:rFonts w:ascii="Times New Roman" w:hAnsi="Times New Roman" w:cs="Times New Roman"/>
                <w:b/>
                <w:bCs/>
                <w:color w:val="000000" w:themeColor="text1"/>
                <w:kern w:val="0"/>
                <w:sz w:val="18"/>
                <w:szCs w:val="18"/>
              </w:rPr>
              <w:t>专利评估值</w:t>
            </w:r>
          </w:p>
        </w:tc>
        <w:tc>
          <w:tcPr>
            <w:tcW w:w="7094" w:type="dxa"/>
            <w:gridSpan w:val="4"/>
            <w:shd w:val="clear" w:color="auto" w:fill="auto"/>
            <w:vAlign w:val="center"/>
          </w:tcPr>
          <w:p w:rsidR="00D56508" w:rsidRPr="00A214B0" w:rsidRDefault="00F1265B">
            <w:pPr>
              <w:widowControl/>
              <w:jc w:val="center"/>
              <w:textAlignment w:val="center"/>
              <w:rPr>
                <w:rFonts w:ascii="Times New Roman" w:eastAsia="Tahoma" w:hAnsi="Times New Roman" w:cs="Times New Roman"/>
                <w:color w:val="000000" w:themeColor="text1"/>
                <w:kern w:val="0"/>
                <w:sz w:val="18"/>
                <w:szCs w:val="18"/>
                <w:lang w:bidi="ar"/>
              </w:rPr>
            </w:pPr>
            <w:r w:rsidRPr="00A214B0">
              <w:rPr>
                <w:rFonts w:ascii="Times New Roman" w:eastAsia="Tahoma" w:hAnsi="Times New Roman" w:cs="Times New Roman"/>
                <w:color w:val="000000" w:themeColor="text1"/>
                <w:kern w:val="0"/>
                <w:sz w:val="18"/>
                <w:szCs w:val="18"/>
                <w:lang w:bidi="ar"/>
              </w:rPr>
              <w:t xml:space="preserve">257.80 </w:t>
            </w:r>
          </w:p>
        </w:tc>
      </w:tr>
    </w:tbl>
    <w:p w:rsidR="00D56508" w:rsidRPr="00A214B0" w:rsidRDefault="00F1265B">
      <w:pPr>
        <w:pStyle w:val="20"/>
        <w:numPr>
          <w:ilvl w:val="255"/>
          <w:numId w:val="0"/>
        </w:numPr>
        <w:spacing w:beforeLines="50" w:before="250"/>
        <w:ind w:firstLineChars="200" w:firstLine="480"/>
        <w:rPr>
          <w:rFonts w:ascii="Times New Roman" w:hAnsi="Times New Roman"/>
          <w:color w:val="000000" w:themeColor="text1"/>
        </w:rPr>
      </w:pPr>
      <w:bookmarkStart w:id="84" w:name="_Toc28409"/>
      <w:r w:rsidRPr="00A214B0">
        <w:rPr>
          <w:rFonts w:ascii="Times New Roman" w:hAnsi="Times New Roman"/>
          <w:color w:val="000000" w:themeColor="text1"/>
        </w:rPr>
        <w:t>（七）递延所得税资产评估说明</w:t>
      </w:r>
      <w:bookmarkEnd w:id="84"/>
    </w:p>
    <w:p w:rsidR="00D56508" w:rsidRPr="00A214B0" w:rsidRDefault="00F1265B">
      <w:pPr>
        <w:pStyle w:val="a1"/>
        <w:adjustRightInd w:val="0"/>
        <w:snapToGrid w:val="0"/>
        <w:spacing w:line="360" w:lineRule="auto"/>
        <w:ind w:firstLineChars="200" w:firstLine="480"/>
        <w:rPr>
          <w:color w:val="000000" w:themeColor="text1"/>
          <w:lang w:val="en-US"/>
        </w:rPr>
      </w:pPr>
      <w:r w:rsidRPr="00A214B0">
        <w:rPr>
          <w:color w:val="000000" w:themeColor="text1"/>
          <w:lang w:val="en-US"/>
        </w:rPr>
        <w:t>评估基准日，被评估单位递延所得税资产账面价值为</w:t>
      </w:r>
      <w:r w:rsidRPr="00A214B0">
        <w:rPr>
          <w:color w:val="000000" w:themeColor="text1"/>
          <w:lang w:val="en-US"/>
        </w:rPr>
        <w:t xml:space="preserve"> 1,207,772.36 </w:t>
      </w:r>
      <w:r w:rsidRPr="00A214B0">
        <w:rPr>
          <w:color w:val="000000" w:themeColor="text1"/>
          <w:lang w:val="en-US"/>
        </w:rPr>
        <w:t>元，递延所得税资产核算的是根据税法企业已缴纳，而根据企业会计准则需在以后期间转回记入所得税科目的时间性差异的所得税影响金额。本次递延所得税资产为企业应收款项坏账准备计提数时，计算得出因暂时影响企业应纳所得税额而形成可抵扣未来期间的所得税金额。本次评估中，对于应收款项以账龄分析法以及个别认定法确认评估值，截至评估基准日，根据账龄分析法以及个别认定法确定的风险损失额，与坏账准备在数值上一致，故该部分递延所得税资产以账面值确认评估值；对于递延收益</w:t>
      </w:r>
      <w:r w:rsidRPr="00A214B0">
        <w:rPr>
          <w:color w:val="000000" w:themeColor="text1"/>
          <w:lang w:val="en-US"/>
        </w:rPr>
        <w:t>-</w:t>
      </w:r>
      <w:r w:rsidRPr="00A214B0">
        <w:rPr>
          <w:color w:val="000000" w:themeColor="text1"/>
          <w:lang w:val="en-US"/>
        </w:rPr>
        <w:t>政府补助形成递延所得税，由于递延收益具体为政府补助，由于补助的项目目前均在执行中，该部分递延收益有收回的可能，因此该部分递延所得税资产按照账面值确认评估值；对于未取得发票的利息支出形成的递延所得税资产，因暂时影响企业应纳所得税额，形成可抵扣未来期间的所得税金额，因此预提的利息支出形成的递延所得税资产以账面值确定评估值。</w:t>
      </w:r>
    </w:p>
    <w:p w:rsidR="00D56508" w:rsidRPr="00A214B0" w:rsidRDefault="00F1265B">
      <w:pPr>
        <w:pStyle w:val="a1"/>
        <w:adjustRightInd w:val="0"/>
        <w:snapToGrid w:val="0"/>
        <w:spacing w:line="360" w:lineRule="auto"/>
        <w:ind w:firstLineChars="200" w:firstLine="480"/>
        <w:rPr>
          <w:color w:val="000000" w:themeColor="text1"/>
          <w:lang w:val="en-US"/>
        </w:rPr>
      </w:pPr>
      <w:r w:rsidRPr="00A214B0">
        <w:rPr>
          <w:color w:val="000000" w:themeColor="text1"/>
          <w:lang w:val="en-US"/>
        </w:rPr>
        <w:t>经评估，递延所得税资产评估值为</w:t>
      </w:r>
      <w:r w:rsidR="00FB6AE2" w:rsidRPr="00A214B0">
        <w:rPr>
          <w:color w:val="000000" w:themeColor="text1"/>
          <w:lang w:val="en-US"/>
        </w:rPr>
        <w:t>1,207,738.97</w:t>
      </w:r>
      <w:r w:rsidRPr="00A214B0">
        <w:rPr>
          <w:color w:val="000000" w:themeColor="text1"/>
          <w:lang w:val="en-US"/>
        </w:rPr>
        <w:t>元。</w:t>
      </w:r>
    </w:p>
    <w:p w:rsidR="00D56508" w:rsidRPr="00A214B0" w:rsidRDefault="00F1265B">
      <w:pPr>
        <w:pStyle w:val="a1"/>
        <w:numPr>
          <w:ilvl w:val="0"/>
          <w:numId w:val="9"/>
        </w:numPr>
        <w:adjustRightInd w:val="0"/>
        <w:snapToGrid w:val="0"/>
        <w:spacing w:line="360" w:lineRule="auto"/>
        <w:ind w:firstLineChars="200" w:firstLine="480"/>
        <w:outlineLvl w:val="1"/>
        <w:rPr>
          <w:color w:val="000000" w:themeColor="text1"/>
          <w:szCs w:val="24"/>
          <w:lang w:val="en-US"/>
        </w:rPr>
      </w:pPr>
      <w:bookmarkStart w:id="85" w:name="_Toc4652"/>
      <w:r w:rsidRPr="00A214B0">
        <w:rPr>
          <w:color w:val="000000" w:themeColor="text1"/>
          <w:szCs w:val="24"/>
          <w:lang w:val="en-US"/>
        </w:rPr>
        <w:t>长期待摊费用评估说明</w:t>
      </w:r>
      <w:bookmarkEnd w:id="85"/>
    </w:p>
    <w:p w:rsidR="00D56508" w:rsidRPr="00A214B0" w:rsidRDefault="00F1265B">
      <w:pPr>
        <w:pStyle w:val="a1"/>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长期待摊费用账面价值为</w:t>
      </w:r>
      <w:r w:rsidRPr="00A214B0">
        <w:rPr>
          <w:color w:val="000000" w:themeColor="text1"/>
          <w:szCs w:val="24"/>
          <w:lang w:val="en-US"/>
        </w:rPr>
        <w:t xml:space="preserve"> 1,592,946.41 </w:t>
      </w:r>
      <w:r w:rsidRPr="00A214B0">
        <w:rPr>
          <w:color w:val="000000" w:themeColor="text1"/>
          <w:szCs w:val="24"/>
          <w:lang w:val="en-US"/>
        </w:rPr>
        <w:t>元，包括土壤检测费、库区管道保温工程、储罐保温修复工程、安全现状评价费、罐区项目设计复合设计费、编制环评品种变更报告书及技术服务费等，评估人员了解形成原因并查阅有关合同和付款记录，对于设备保温工程、品种变更评价与报告服务费以及罐区项目复合设计费已在设备资产评估中考虑，因此本次评估为</w:t>
      </w:r>
      <w:r w:rsidRPr="00A214B0">
        <w:rPr>
          <w:color w:val="000000" w:themeColor="text1"/>
          <w:szCs w:val="24"/>
          <w:lang w:val="en-US"/>
        </w:rPr>
        <w:t>0</w:t>
      </w:r>
      <w:r w:rsidRPr="00A214B0">
        <w:rPr>
          <w:color w:val="000000" w:themeColor="text1"/>
          <w:szCs w:val="24"/>
          <w:lang w:val="en-US"/>
        </w:rPr>
        <w:t>元；对于其他费用，按尚存资产和权利的价值确定评估值。</w:t>
      </w:r>
    </w:p>
    <w:p w:rsidR="00D56508" w:rsidRPr="00A214B0" w:rsidRDefault="00F1265B">
      <w:pPr>
        <w:pStyle w:val="a1"/>
        <w:adjustRightInd w:val="0"/>
        <w:snapToGrid w:val="0"/>
        <w:spacing w:line="360" w:lineRule="auto"/>
        <w:ind w:firstLineChars="200" w:firstLine="480"/>
        <w:rPr>
          <w:color w:val="000000" w:themeColor="text1"/>
          <w:szCs w:val="24"/>
          <w:lang w:val="en-US"/>
        </w:rPr>
      </w:pPr>
      <w:r w:rsidRPr="00A214B0">
        <w:rPr>
          <w:color w:val="000000" w:themeColor="text1"/>
          <w:szCs w:val="24"/>
          <w:lang w:val="en-US"/>
        </w:rPr>
        <w:t>经评估，长期待摊费用的评估值为</w:t>
      </w:r>
      <w:r w:rsidRPr="00A214B0">
        <w:rPr>
          <w:color w:val="000000" w:themeColor="text1"/>
          <w:szCs w:val="24"/>
          <w:lang w:val="en-US"/>
        </w:rPr>
        <w:t xml:space="preserve"> 811,636.23 </w:t>
      </w:r>
      <w:r w:rsidRPr="00A214B0">
        <w:rPr>
          <w:color w:val="000000" w:themeColor="text1"/>
          <w:szCs w:val="24"/>
          <w:lang w:val="en-US"/>
        </w:rPr>
        <w:t>元。</w:t>
      </w:r>
    </w:p>
    <w:p w:rsidR="00D56508" w:rsidRPr="00A214B0" w:rsidRDefault="00F1265B">
      <w:pPr>
        <w:pStyle w:val="a1"/>
        <w:adjustRightInd w:val="0"/>
        <w:snapToGrid w:val="0"/>
        <w:spacing w:line="360" w:lineRule="auto"/>
        <w:ind w:firstLineChars="200" w:firstLine="480"/>
        <w:outlineLvl w:val="1"/>
        <w:rPr>
          <w:color w:val="000000" w:themeColor="text1"/>
          <w:szCs w:val="24"/>
          <w:lang w:val="en-US"/>
        </w:rPr>
      </w:pPr>
      <w:bookmarkStart w:id="86" w:name="_Toc13616"/>
      <w:r w:rsidRPr="00A214B0">
        <w:rPr>
          <w:color w:val="000000" w:themeColor="text1"/>
          <w:szCs w:val="24"/>
          <w:lang w:val="en-US"/>
        </w:rPr>
        <w:t>（九）其他非流动资产评估说明</w:t>
      </w:r>
      <w:bookmarkEnd w:id="86"/>
    </w:p>
    <w:p w:rsidR="00D56508" w:rsidRPr="00A214B0" w:rsidRDefault="00F1265B">
      <w:pPr>
        <w:pStyle w:val="a1"/>
        <w:adjustRightInd w:val="0"/>
        <w:snapToGrid w:val="0"/>
        <w:spacing w:line="360" w:lineRule="auto"/>
        <w:ind w:firstLineChars="200" w:firstLine="480"/>
        <w:rPr>
          <w:color w:val="000000" w:themeColor="text1"/>
        </w:rPr>
      </w:pPr>
      <w:r w:rsidRPr="00A214B0">
        <w:rPr>
          <w:color w:val="000000" w:themeColor="text1"/>
          <w:lang w:val="en-US"/>
        </w:rPr>
        <w:t>其他非流动资产账面价值</w:t>
      </w:r>
      <w:r w:rsidRPr="00A214B0">
        <w:rPr>
          <w:color w:val="000000" w:themeColor="text1"/>
          <w:lang w:val="en-US"/>
        </w:rPr>
        <w:t xml:space="preserve"> 5,000,000.00 </w:t>
      </w:r>
      <w:r w:rsidRPr="00A214B0">
        <w:rPr>
          <w:color w:val="000000" w:themeColor="text1"/>
          <w:lang w:val="en-US"/>
        </w:rPr>
        <w:t>元，</w:t>
      </w:r>
      <w:r w:rsidRPr="00A214B0">
        <w:rPr>
          <w:color w:val="000000" w:themeColor="text1"/>
        </w:rPr>
        <w:t>为预付泰州市临江港口开发有限公司的土地款，</w:t>
      </w:r>
      <w:r w:rsidRPr="00A214B0">
        <w:rPr>
          <w:color w:val="000000" w:themeColor="text1"/>
          <w:szCs w:val="24"/>
        </w:rPr>
        <w:t>评估人员查阅以上款项的相关凭证及合同，对预付款的真实性进行了核实，以核实后账面值</w:t>
      </w:r>
      <w:r w:rsidRPr="00A214B0">
        <w:rPr>
          <w:color w:val="000000" w:themeColor="text1"/>
          <w:lang w:val="en-US"/>
        </w:rPr>
        <w:t xml:space="preserve"> 5,000,000.00 </w:t>
      </w:r>
      <w:r w:rsidRPr="00A214B0">
        <w:rPr>
          <w:color w:val="000000" w:themeColor="text1"/>
          <w:lang w:val="en-US"/>
        </w:rPr>
        <w:t>元</w:t>
      </w:r>
      <w:r w:rsidRPr="00A214B0">
        <w:rPr>
          <w:color w:val="000000" w:themeColor="text1"/>
          <w:szCs w:val="24"/>
        </w:rPr>
        <w:t>确定评估值。</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87" w:name="_Toc10428"/>
      <w:r w:rsidRPr="00A214B0">
        <w:rPr>
          <w:rFonts w:ascii="Times New Roman" w:eastAsia="黑体" w:hAnsi="Times New Roman" w:cs="Times New Roman"/>
          <w:color w:val="000000" w:themeColor="text1"/>
          <w:sz w:val="28"/>
          <w:szCs w:val="28"/>
        </w:rPr>
        <w:t>三、流动负债评估说明</w:t>
      </w:r>
      <w:bookmarkEnd w:id="72"/>
      <w:bookmarkEnd w:id="74"/>
      <w:bookmarkEnd w:id="87"/>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评估范围涉及的流动负债包括：短期借款、应付账款、预收账款、应付职工薪酬、应交税费、其他应付款，评估基准日账面价值</w:t>
      </w:r>
      <w:r w:rsidRPr="00A214B0">
        <w:rPr>
          <w:rFonts w:ascii="Times New Roman"/>
          <w:color w:val="000000" w:themeColor="text1"/>
        </w:rPr>
        <w:t xml:space="preserve"> 181,067,220.55 </w:t>
      </w:r>
      <w:r w:rsidRPr="00A214B0">
        <w:rPr>
          <w:rFonts w:ascii="Times New Roman"/>
          <w:color w:val="000000" w:themeColor="text1"/>
        </w:rPr>
        <w:t>元。对以上负债，本次以评估目的实现后的产权所有者实际需要承担的负债项目及金额确定评估值。具体清查确认的方法如下：</w:t>
      </w:r>
    </w:p>
    <w:p w:rsidR="00D56508" w:rsidRPr="00A214B0" w:rsidRDefault="00F1265B">
      <w:pPr>
        <w:pStyle w:val="20"/>
        <w:numPr>
          <w:ilvl w:val="255"/>
          <w:numId w:val="0"/>
        </w:numPr>
        <w:ind w:firstLineChars="100" w:firstLine="240"/>
        <w:rPr>
          <w:rFonts w:ascii="Times New Roman" w:hAnsi="Times New Roman"/>
          <w:color w:val="000000" w:themeColor="text1"/>
        </w:rPr>
      </w:pPr>
      <w:bookmarkStart w:id="88" w:name="_Toc28932"/>
      <w:r w:rsidRPr="00A214B0">
        <w:rPr>
          <w:rFonts w:ascii="Times New Roman" w:hAnsi="Times New Roman"/>
          <w:color w:val="000000" w:themeColor="text1"/>
        </w:rPr>
        <w:t>（一）短期借款</w:t>
      </w:r>
      <w:bookmarkEnd w:id="88"/>
    </w:p>
    <w:p w:rsidR="00D56508" w:rsidRPr="00A214B0" w:rsidRDefault="00F1265B">
      <w:pPr>
        <w:pStyle w:val="yl"/>
        <w:snapToGrid w:val="0"/>
        <w:spacing w:line="360" w:lineRule="auto"/>
        <w:ind w:firstLineChars="200" w:firstLine="480"/>
        <w:rPr>
          <w:rFonts w:ascii="Times New Roman"/>
          <w:color w:val="000000" w:themeColor="text1"/>
        </w:rPr>
      </w:pPr>
      <w:r w:rsidRPr="00A214B0">
        <w:rPr>
          <w:rFonts w:ascii="Times New Roman"/>
          <w:color w:val="000000" w:themeColor="text1"/>
        </w:rPr>
        <w:t>短期借款账面值</w:t>
      </w:r>
      <w:r w:rsidRPr="00A214B0">
        <w:rPr>
          <w:rFonts w:ascii="Times New Roman"/>
          <w:color w:val="000000" w:themeColor="text1"/>
        </w:rPr>
        <w:t xml:space="preserve"> 57,500,000.00 </w:t>
      </w:r>
      <w:r w:rsidRPr="00A214B0">
        <w:rPr>
          <w:rFonts w:ascii="Times New Roman"/>
          <w:color w:val="000000" w:themeColor="text1"/>
        </w:rPr>
        <w:t>元，为江苏海企化工仓储股份有限公司在生产经营过程中，为弥补流动资金的不足而向招商银行股份有限公司泰州分行及江苏泰州农村商业银行股份有限公司借入的一年内偿还的信用借款及担保借款，具体如下：</w:t>
      </w:r>
    </w:p>
    <w:tbl>
      <w:tblPr>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2260"/>
        <w:gridCol w:w="1436"/>
        <w:gridCol w:w="1810"/>
        <w:gridCol w:w="735"/>
        <w:gridCol w:w="1186"/>
        <w:gridCol w:w="1009"/>
      </w:tblGrid>
      <w:tr w:rsidR="00D56508" w:rsidRPr="00A214B0">
        <w:trPr>
          <w:trHeight w:val="329"/>
          <w:tblHeader/>
        </w:trPr>
        <w:tc>
          <w:tcPr>
            <w:tcW w:w="613"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序号</w:t>
            </w:r>
          </w:p>
        </w:tc>
        <w:tc>
          <w:tcPr>
            <w:tcW w:w="2260"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放贷银行名称</w:t>
            </w:r>
          </w:p>
        </w:tc>
        <w:tc>
          <w:tcPr>
            <w:tcW w:w="1436"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金额</w:t>
            </w:r>
          </w:p>
        </w:tc>
        <w:tc>
          <w:tcPr>
            <w:tcW w:w="1810"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贷款期限</w:t>
            </w:r>
          </w:p>
        </w:tc>
        <w:tc>
          <w:tcPr>
            <w:tcW w:w="735"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贷款利率</w:t>
            </w:r>
          </w:p>
        </w:tc>
        <w:tc>
          <w:tcPr>
            <w:tcW w:w="1186"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利息结算方式</w:t>
            </w:r>
          </w:p>
        </w:tc>
        <w:tc>
          <w:tcPr>
            <w:tcW w:w="1009" w:type="dxa"/>
            <w:vAlign w:val="center"/>
          </w:tcPr>
          <w:p w:rsidR="00D56508" w:rsidRPr="00A214B0" w:rsidRDefault="00F1265B">
            <w:pPr>
              <w:pStyle w:val="yl"/>
              <w:autoSpaceDE w:val="0"/>
              <w:autoSpaceDN w:val="0"/>
              <w:adjustRightInd w:val="0"/>
              <w:snapToGrid w:val="0"/>
              <w:ind w:firstLine="0"/>
              <w:jc w:val="center"/>
              <w:rPr>
                <w:rFonts w:ascii="Times New Roman"/>
                <w:b/>
                <w:color w:val="000000" w:themeColor="text1"/>
                <w:sz w:val="18"/>
                <w:szCs w:val="18"/>
              </w:rPr>
            </w:pPr>
            <w:r w:rsidRPr="00A214B0">
              <w:rPr>
                <w:rFonts w:ascii="Times New Roman"/>
                <w:b/>
                <w:color w:val="000000" w:themeColor="text1"/>
                <w:sz w:val="18"/>
                <w:szCs w:val="18"/>
              </w:rPr>
              <w:t>贷款方式</w:t>
            </w:r>
          </w:p>
        </w:tc>
      </w:tr>
      <w:tr w:rsidR="00D56508" w:rsidRPr="00A214B0">
        <w:trPr>
          <w:trHeight w:val="329"/>
        </w:trPr>
        <w:tc>
          <w:tcPr>
            <w:tcW w:w="613" w:type="dxa"/>
            <w:vAlign w:val="center"/>
          </w:tcPr>
          <w:p w:rsidR="00D56508" w:rsidRPr="00A214B0" w:rsidRDefault="00F1265B">
            <w:pPr>
              <w:pStyle w:val="yl"/>
              <w:autoSpaceDE w:val="0"/>
              <w:autoSpaceDN w:val="0"/>
              <w:adjustRightInd w:val="0"/>
              <w:snapToGrid w:val="0"/>
              <w:ind w:firstLine="0"/>
              <w:jc w:val="center"/>
              <w:rPr>
                <w:rFonts w:ascii="Times New Roman"/>
                <w:color w:val="000000" w:themeColor="text1"/>
                <w:sz w:val="18"/>
                <w:szCs w:val="18"/>
              </w:rPr>
            </w:pPr>
            <w:r w:rsidRPr="00A214B0">
              <w:rPr>
                <w:rFonts w:ascii="Times New Roman"/>
                <w:color w:val="000000" w:themeColor="text1"/>
                <w:sz w:val="18"/>
                <w:szCs w:val="18"/>
              </w:rPr>
              <w:t>1</w:t>
            </w:r>
          </w:p>
        </w:tc>
        <w:tc>
          <w:tcPr>
            <w:tcW w:w="2260"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招商银行股份有限公司泰州分行</w:t>
            </w:r>
          </w:p>
        </w:tc>
        <w:tc>
          <w:tcPr>
            <w:tcW w:w="1436"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5,000,000.00</w:t>
            </w:r>
          </w:p>
        </w:tc>
        <w:tc>
          <w:tcPr>
            <w:tcW w:w="1810" w:type="dxa"/>
            <w:vAlign w:val="center"/>
          </w:tcPr>
          <w:p w:rsidR="00D56508" w:rsidRPr="00A214B0" w:rsidRDefault="00F1265B">
            <w:pPr>
              <w:pStyle w:val="yl"/>
              <w:autoSpaceDE w:val="0"/>
              <w:autoSpaceDN w:val="0"/>
              <w:adjustRightInd w:val="0"/>
              <w:snapToGrid w:val="0"/>
              <w:ind w:firstLine="0"/>
              <w:jc w:val="center"/>
              <w:rPr>
                <w:rFonts w:ascii="Times New Roman"/>
                <w:color w:val="000000" w:themeColor="text1"/>
                <w:sz w:val="18"/>
                <w:szCs w:val="18"/>
              </w:rPr>
            </w:pPr>
            <w:r w:rsidRPr="00A214B0">
              <w:rPr>
                <w:rFonts w:ascii="Times New Roman"/>
                <w:color w:val="000000" w:themeColor="text1"/>
                <w:sz w:val="18"/>
                <w:szCs w:val="18"/>
              </w:rPr>
              <w:t>2019.4.24-2019.10.8</w:t>
            </w:r>
          </w:p>
        </w:tc>
        <w:tc>
          <w:tcPr>
            <w:tcW w:w="735"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5.40%</w:t>
            </w:r>
          </w:p>
        </w:tc>
        <w:tc>
          <w:tcPr>
            <w:tcW w:w="1186" w:type="dxa"/>
            <w:vAlign w:val="center"/>
          </w:tcPr>
          <w:p w:rsidR="00D56508" w:rsidRPr="00A214B0" w:rsidRDefault="00F1265B">
            <w:pPr>
              <w:pStyle w:val="yl"/>
              <w:autoSpaceDE w:val="0"/>
              <w:autoSpaceDN w:val="0"/>
              <w:adjustRightInd w:val="0"/>
              <w:snapToGrid w:val="0"/>
              <w:ind w:firstLine="0"/>
              <w:jc w:val="center"/>
              <w:rPr>
                <w:rFonts w:ascii="Times New Roman"/>
                <w:color w:val="000000" w:themeColor="text1"/>
                <w:sz w:val="18"/>
                <w:szCs w:val="18"/>
              </w:rPr>
            </w:pPr>
            <w:r w:rsidRPr="00A214B0">
              <w:rPr>
                <w:rFonts w:ascii="Times New Roman"/>
                <w:color w:val="000000" w:themeColor="text1"/>
                <w:sz w:val="18"/>
                <w:szCs w:val="18"/>
              </w:rPr>
              <w:t>按月结息</w:t>
            </w:r>
          </w:p>
        </w:tc>
        <w:tc>
          <w:tcPr>
            <w:tcW w:w="1009"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信用借款</w:t>
            </w:r>
          </w:p>
        </w:tc>
      </w:tr>
      <w:tr w:rsidR="00D56508" w:rsidRPr="00A214B0">
        <w:trPr>
          <w:trHeight w:val="329"/>
        </w:trPr>
        <w:tc>
          <w:tcPr>
            <w:tcW w:w="613" w:type="dxa"/>
            <w:vAlign w:val="center"/>
          </w:tcPr>
          <w:p w:rsidR="00D56508" w:rsidRPr="00A214B0" w:rsidRDefault="00F1265B">
            <w:pPr>
              <w:pStyle w:val="yl"/>
              <w:autoSpaceDE w:val="0"/>
              <w:autoSpaceDN w:val="0"/>
              <w:adjustRightInd w:val="0"/>
              <w:snapToGrid w:val="0"/>
              <w:ind w:firstLine="0"/>
              <w:jc w:val="center"/>
              <w:rPr>
                <w:rFonts w:ascii="Times New Roman"/>
                <w:color w:val="000000" w:themeColor="text1"/>
                <w:sz w:val="18"/>
                <w:szCs w:val="18"/>
              </w:rPr>
            </w:pPr>
            <w:r w:rsidRPr="00A214B0">
              <w:rPr>
                <w:rFonts w:ascii="Times New Roman"/>
                <w:color w:val="000000" w:themeColor="text1"/>
                <w:sz w:val="18"/>
                <w:szCs w:val="18"/>
              </w:rPr>
              <w:t>2</w:t>
            </w:r>
          </w:p>
        </w:tc>
        <w:tc>
          <w:tcPr>
            <w:tcW w:w="2260"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江苏泰州农村商业银行股份有限公司</w:t>
            </w:r>
          </w:p>
        </w:tc>
        <w:tc>
          <w:tcPr>
            <w:tcW w:w="1436"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52,500,000.00</w:t>
            </w:r>
          </w:p>
        </w:tc>
        <w:tc>
          <w:tcPr>
            <w:tcW w:w="1810" w:type="dxa"/>
            <w:vAlign w:val="center"/>
          </w:tcPr>
          <w:p w:rsidR="00D56508" w:rsidRPr="00A214B0" w:rsidRDefault="00F1265B">
            <w:pPr>
              <w:pStyle w:val="yl"/>
              <w:autoSpaceDE w:val="0"/>
              <w:autoSpaceDN w:val="0"/>
              <w:adjustRightInd w:val="0"/>
              <w:snapToGrid w:val="0"/>
              <w:ind w:firstLine="0"/>
              <w:jc w:val="center"/>
              <w:rPr>
                <w:rFonts w:ascii="Times New Roman"/>
                <w:color w:val="000000" w:themeColor="text1"/>
                <w:sz w:val="18"/>
                <w:szCs w:val="18"/>
              </w:rPr>
            </w:pPr>
            <w:r w:rsidRPr="00A214B0">
              <w:rPr>
                <w:rFonts w:ascii="Times New Roman"/>
                <w:color w:val="000000" w:themeColor="text1"/>
                <w:sz w:val="18"/>
                <w:szCs w:val="18"/>
              </w:rPr>
              <w:t>2019.1.4-2020.1.3</w:t>
            </w:r>
          </w:p>
        </w:tc>
        <w:tc>
          <w:tcPr>
            <w:tcW w:w="735"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6.00%</w:t>
            </w:r>
          </w:p>
        </w:tc>
        <w:tc>
          <w:tcPr>
            <w:tcW w:w="1186" w:type="dxa"/>
            <w:vAlign w:val="center"/>
          </w:tcPr>
          <w:p w:rsidR="00D56508" w:rsidRPr="00A214B0" w:rsidRDefault="00F1265B">
            <w:pPr>
              <w:pStyle w:val="yl"/>
              <w:autoSpaceDE w:val="0"/>
              <w:autoSpaceDN w:val="0"/>
              <w:adjustRightInd w:val="0"/>
              <w:snapToGrid w:val="0"/>
              <w:ind w:firstLine="0"/>
              <w:jc w:val="center"/>
              <w:rPr>
                <w:rFonts w:ascii="Times New Roman"/>
                <w:color w:val="000000" w:themeColor="text1"/>
                <w:sz w:val="18"/>
                <w:szCs w:val="18"/>
              </w:rPr>
            </w:pPr>
            <w:r w:rsidRPr="00A214B0">
              <w:rPr>
                <w:rFonts w:ascii="Times New Roman"/>
                <w:color w:val="000000" w:themeColor="text1"/>
                <w:sz w:val="18"/>
                <w:szCs w:val="18"/>
              </w:rPr>
              <w:t>按月结息</w:t>
            </w:r>
          </w:p>
        </w:tc>
        <w:tc>
          <w:tcPr>
            <w:tcW w:w="1009" w:type="dxa"/>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担保借款</w:t>
            </w:r>
          </w:p>
        </w:tc>
      </w:tr>
    </w:tbl>
    <w:p w:rsidR="00D56508" w:rsidRPr="00A214B0" w:rsidRDefault="00F1265B">
      <w:pPr>
        <w:pStyle w:val="yl"/>
        <w:adjustRightInd w:val="0"/>
        <w:snapToGrid w:val="0"/>
        <w:spacing w:beforeLines="50" w:before="250" w:line="360" w:lineRule="auto"/>
        <w:ind w:firstLineChars="200" w:firstLine="480"/>
        <w:rPr>
          <w:rFonts w:ascii="Times New Roman"/>
          <w:color w:val="000000" w:themeColor="text1"/>
        </w:rPr>
      </w:pPr>
      <w:r w:rsidRPr="00A214B0">
        <w:rPr>
          <w:rFonts w:ascii="Times New Roman"/>
          <w:color w:val="000000" w:themeColor="text1"/>
        </w:rPr>
        <w:t>评估人员对企业的短期借款逐笔核对和向企业相关人员询问，核对借款合同、借款金额、利率和借款期限，均正确无误，并能及时按月结息。企业目前经营状况良好，有按时偿还本金和利息的能力。对短期借款以核实后的账面值</w:t>
      </w:r>
      <w:r w:rsidRPr="00A214B0">
        <w:rPr>
          <w:rFonts w:ascii="Times New Roman"/>
          <w:color w:val="000000" w:themeColor="text1"/>
        </w:rPr>
        <w:t xml:space="preserve"> 57,500,000.00</w:t>
      </w:r>
      <w:r w:rsidRPr="00A214B0">
        <w:rPr>
          <w:rFonts w:ascii="Times New Roman"/>
          <w:color w:val="000000" w:themeColor="text1"/>
        </w:rPr>
        <w:t>元确认评估值。</w:t>
      </w:r>
    </w:p>
    <w:p w:rsidR="00D56508" w:rsidRPr="00A214B0" w:rsidRDefault="00F1265B">
      <w:pPr>
        <w:pStyle w:val="20"/>
        <w:numPr>
          <w:ilvl w:val="255"/>
          <w:numId w:val="0"/>
        </w:numPr>
        <w:ind w:firstLineChars="200" w:firstLine="480"/>
        <w:rPr>
          <w:rFonts w:ascii="Times New Roman" w:hAnsi="Times New Roman"/>
          <w:color w:val="000000" w:themeColor="text1"/>
        </w:rPr>
      </w:pPr>
      <w:bookmarkStart w:id="89" w:name="_Toc17748"/>
      <w:r w:rsidRPr="00A214B0">
        <w:rPr>
          <w:rFonts w:ascii="Times New Roman" w:hAnsi="Times New Roman"/>
          <w:color w:val="000000" w:themeColor="text1"/>
        </w:rPr>
        <w:t>（二）应付账款</w:t>
      </w:r>
      <w:bookmarkEnd w:id="89"/>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应付账款账面价值</w:t>
      </w:r>
      <w:r w:rsidRPr="00A214B0">
        <w:rPr>
          <w:rFonts w:ascii="Times New Roman"/>
          <w:color w:val="000000" w:themeColor="text1"/>
        </w:rPr>
        <w:t xml:space="preserve"> 4,892,928.70 </w:t>
      </w:r>
      <w:r w:rsidRPr="00A214B0">
        <w:rPr>
          <w:rFonts w:ascii="Times New Roman"/>
          <w:color w:val="000000" w:themeColor="text1"/>
        </w:rPr>
        <w:t>元，主要为应付材料款及应付设备工程款。</w:t>
      </w:r>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评估人员查阅了明细账和主要购货单位的采购合同，并对大额应付款项进行了函证，在确认各款项涉及的交易行为真实、有效，金额核算无误的基础上，以核实后的账面值作为评估值。</w:t>
      </w:r>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应付账款评估值为</w:t>
      </w:r>
      <w:r w:rsidRPr="00A214B0">
        <w:rPr>
          <w:rFonts w:ascii="Times New Roman"/>
          <w:color w:val="000000" w:themeColor="text1"/>
        </w:rPr>
        <w:t xml:space="preserve">4,892,928.70 </w:t>
      </w:r>
      <w:r w:rsidRPr="00A214B0">
        <w:rPr>
          <w:rFonts w:ascii="Times New Roman"/>
          <w:color w:val="000000" w:themeColor="text1"/>
        </w:rPr>
        <w:t>元。</w:t>
      </w:r>
    </w:p>
    <w:p w:rsidR="00D56508" w:rsidRPr="00A214B0" w:rsidRDefault="00F1265B">
      <w:pPr>
        <w:pStyle w:val="yl"/>
        <w:numPr>
          <w:ilvl w:val="0"/>
          <w:numId w:val="15"/>
        </w:numPr>
        <w:adjustRightInd w:val="0"/>
        <w:snapToGrid w:val="0"/>
        <w:spacing w:line="360" w:lineRule="auto"/>
        <w:ind w:firstLineChars="200" w:firstLine="480"/>
        <w:outlineLvl w:val="1"/>
        <w:rPr>
          <w:rFonts w:ascii="Times New Roman"/>
          <w:color w:val="000000" w:themeColor="text1"/>
        </w:rPr>
      </w:pPr>
      <w:bookmarkStart w:id="90" w:name="_Toc16152"/>
      <w:r w:rsidRPr="00A214B0">
        <w:rPr>
          <w:rFonts w:ascii="Times New Roman"/>
          <w:color w:val="000000" w:themeColor="text1"/>
        </w:rPr>
        <w:t>预收账款</w:t>
      </w:r>
      <w:bookmarkEnd w:id="90"/>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基准日清查核实后应账面值</w:t>
      </w:r>
      <w:r w:rsidRPr="00A214B0">
        <w:rPr>
          <w:rFonts w:ascii="Times New Roman"/>
          <w:color w:val="000000" w:themeColor="text1"/>
        </w:rPr>
        <w:t xml:space="preserve"> 1,419,374.00 </w:t>
      </w:r>
      <w:r w:rsidRPr="00A214B0">
        <w:rPr>
          <w:rFonts w:ascii="Times New Roman"/>
          <w:color w:val="000000" w:themeColor="text1"/>
        </w:rPr>
        <w:t>元，为预收的仓储费。我们以审定后的金额为基础，对各项预收账款进行核实，并对大额应付款项进行了函证，在确认各款项涉及的交易行为真实、有效，金额核算无误的基础上，以核实后的账面值作为评估值。</w:t>
      </w:r>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预收账款评估值为</w:t>
      </w:r>
      <w:r w:rsidRPr="00A214B0">
        <w:rPr>
          <w:rFonts w:ascii="Times New Roman"/>
          <w:color w:val="000000" w:themeColor="text1"/>
        </w:rPr>
        <w:t xml:space="preserve"> 1,419,374.00 </w:t>
      </w:r>
      <w:r w:rsidRPr="00A214B0">
        <w:rPr>
          <w:rFonts w:ascii="Times New Roman"/>
          <w:color w:val="000000" w:themeColor="text1"/>
        </w:rPr>
        <w:t>元。</w:t>
      </w:r>
    </w:p>
    <w:p w:rsidR="00D56508" w:rsidRPr="00A214B0" w:rsidRDefault="00F1265B">
      <w:pPr>
        <w:pStyle w:val="20"/>
        <w:ind w:firstLine="480"/>
        <w:rPr>
          <w:rFonts w:ascii="Times New Roman" w:hAnsi="Times New Roman"/>
          <w:color w:val="000000" w:themeColor="text1"/>
        </w:rPr>
      </w:pPr>
      <w:bookmarkStart w:id="91" w:name="_Toc13092"/>
      <w:r w:rsidRPr="00A214B0">
        <w:rPr>
          <w:rFonts w:ascii="Times New Roman" w:hAnsi="Times New Roman"/>
          <w:color w:val="000000" w:themeColor="text1"/>
        </w:rPr>
        <w:t>（四）应付职工薪酬</w:t>
      </w:r>
      <w:bookmarkEnd w:id="91"/>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应付职工薪酬账面值</w:t>
      </w:r>
      <w:r w:rsidRPr="00A214B0">
        <w:rPr>
          <w:rFonts w:ascii="Times New Roman"/>
          <w:color w:val="000000" w:themeColor="text1"/>
        </w:rPr>
        <w:t xml:space="preserve"> 1,518,766.54 </w:t>
      </w:r>
      <w:r w:rsidRPr="00A214B0">
        <w:rPr>
          <w:rFonts w:ascii="Times New Roman"/>
          <w:color w:val="000000" w:themeColor="text1"/>
        </w:rPr>
        <w:t>元。主要为按规定计提的应付职工工资及工会经费。评估人员查阅了各项计提费用的有关政策，并查阅了相关账簿和凭证，在确认各项计提费用符合规定、金额无误的基础上，以核实后的账面价值作为评估值。</w:t>
      </w:r>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应付职工薪酬评估值为</w:t>
      </w:r>
      <w:r w:rsidRPr="00A214B0">
        <w:rPr>
          <w:rFonts w:ascii="Times New Roman"/>
          <w:color w:val="000000" w:themeColor="text1"/>
        </w:rPr>
        <w:t xml:space="preserve"> 1,518,766.54 </w:t>
      </w:r>
      <w:r w:rsidRPr="00A214B0">
        <w:rPr>
          <w:rFonts w:ascii="Times New Roman"/>
          <w:color w:val="000000" w:themeColor="text1"/>
        </w:rPr>
        <w:t>元。</w:t>
      </w:r>
    </w:p>
    <w:p w:rsidR="00D56508" w:rsidRPr="00A214B0" w:rsidRDefault="00F1265B">
      <w:pPr>
        <w:pStyle w:val="20"/>
        <w:ind w:firstLine="480"/>
        <w:rPr>
          <w:rFonts w:ascii="Times New Roman" w:hAnsi="Times New Roman"/>
          <w:color w:val="000000" w:themeColor="text1"/>
        </w:rPr>
      </w:pPr>
      <w:bookmarkStart w:id="92" w:name="_Toc8873"/>
      <w:r w:rsidRPr="00A214B0">
        <w:rPr>
          <w:rFonts w:ascii="Times New Roman" w:hAnsi="Times New Roman"/>
          <w:color w:val="000000" w:themeColor="text1"/>
        </w:rPr>
        <w:t>（五）应交税费</w:t>
      </w:r>
      <w:bookmarkEnd w:id="92"/>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应交税费账面值</w:t>
      </w:r>
      <w:r w:rsidRPr="00A214B0">
        <w:rPr>
          <w:rFonts w:ascii="Times New Roman"/>
          <w:color w:val="000000" w:themeColor="text1"/>
        </w:rPr>
        <w:t xml:space="preserve"> 417,815.74 </w:t>
      </w:r>
      <w:r w:rsidRPr="00A214B0">
        <w:rPr>
          <w:rFonts w:ascii="Times New Roman"/>
          <w:color w:val="000000" w:themeColor="text1"/>
        </w:rPr>
        <w:t>元，主要为江苏海企化工仓储股份有限公司应交的个人所得税和其他税种。评估人员查阅了应交税费明细账，抽查了被评估单位的完税凭证，纳税申报表等财务资料，确认税金计算正确，应交税费以核实后的账面值作为评估值。</w:t>
      </w:r>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应交税费评估值为</w:t>
      </w:r>
      <w:r w:rsidRPr="00A214B0">
        <w:rPr>
          <w:rFonts w:ascii="Times New Roman"/>
          <w:color w:val="000000" w:themeColor="text1"/>
        </w:rPr>
        <w:t xml:space="preserve">417,815.74 </w:t>
      </w:r>
      <w:r w:rsidRPr="00A214B0">
        <w:rPr>
          <w:rFonts w:ascii="Times New Roman"/>
          <w:color w:val="000000" w:themeColor="text1"/>
        </w:rPr>
        <w:t>元。</w:t>
      </w:r>
    </w:p>
    <w:p w:rsidR="00D56508" w:rsidRPr="00A214B0" w:rsidRDefault="00F1265B">
      <w:pPr>
        <w:pStyle w:val="20"/>
        <w:ind w:firstLine="480"/>
        <w:rPr>
          <w:rFonts w:ascii="Times New Roman" w:hAnsi="Times New Roman"/>
          <w:color w:val="000000" w:themeColor="text1"/>
        </w:rPr>
      </w:pPr>
      <w:bookmarkStart w:id="93" w:name="_Toc25107"/>
      <w:r w:rsidRPr="00A214B0">
        <w:rPr>
          <w:rFonts w:ascii="Times New Roman" w:hAnsi="Times New Roman"/>
          <w:color w:val="000000" w:themeColor="text1"/>
        </w:rPr>
        <w:t>（六）其他应付款</w:t>
      </w:r>
      <w:bookmarkEnd w:id="93"/>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其他应付款账面值</w:t>
      </w:r>
      <w:r w:rsidRPr="00A214B0">
        <w:rPr>
          <w:rFonts w:ascii="Times New Roman"/>
          <w:color w:val="000000" w:themeColor="text1"/>
        </w:rPr>
        <w:t xml:space="preserve"> 115,318,335.57 </w:t>
      </w:r>
      <w:r w:rsidRPr="00A214B0">
        <w:rPr>
          <w:rFonts w:ascii="Times New Roman"/>
          <w:color w:val="000000" w:themeColor="text1"/>
        </w:rPr>
        <w:t>元。主要为被评估单位应付的关联方的借款、利息以及应付股东的股利及股利利息。评估人员查阅了相关单据、借款合同、协议、发放股利的股东会决议及会计凭证，确认各款项真实存在、金额无误，且未发现无需支付的款项的有关证据，以核实后的账面值作为评估值。</w:t>
      </w:r>
    </w:p>
    <w:p w:rsidR="00D56508" w:rsidRPr="00A214B0" w:rsidRDefault="00F1265B">
      <w:pPr>
        <w:pStyle w:val="yl"/>
        <w:snapToGrid w:val="0"/>
        <w:spacing w:line="360" w:lineRule="auto"/>
        <w:ind w:firstLineChars="200" w:firstLine="480"/>
        <w:rPr>
          <w:rFonts w:ascii="Times New Roman"/>
          <w:color w:val="000000" w:themeColor="text1"/>
        </w:rPr>
      </w:pPr>
      <w:r w:rsidRPr="00A214B0">
        <w:rPr>
          <w:rFonts w:ascii="Times New Roman"/>
          <w:color w:val="000000" w:themeColor="text1"/>
        </w:rPr>
        <w:t>其他应付款评估值为</w:t>
      </w:r>
      <w:r w:rsidRPr="00A214B0">
        <w:rPr>
          <w:rFonts w:ascii="Times New Roman"/>
          <w:color w:val="000000" w:themeColor="text1"/>
        </w:rPr>
        <w:t xml:space="preserve">115,318,335.57 </w:t>
      </w:r>
      <w:r w:rsidRPr="00A214B0">
        <w:rPr>
          <w:rFonts w:ascii="Times New Roman"/>
          <w:color w:val="000000" w:themeColor="text1"/>
        </w:rPr>
        <w:t>元。</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94" w:name="_Toc26392"/>
      <w:r w:rsidRPr="00A214B0">
        <w:rPr>
          <w:rFonts w:ascii="Times New Roman" w:eastAsia="黑体" w:hAnsi="Times New Roman" w:cs="Times New Roman"/>
          <w:color w:val="000000" w:themeColor="text1"/>
          <w:sz w:val="28"/>
          <w:szCs w:val="28"/>
        </w:rPr>
        <w:t>四、非流动负债评估说明</w:t>
      </w:r>
      <w:bookmarkEnd w:id="94"/>
    </w:p>
    <w:p w:rsidR="00D56508" w:rsidRPr="00A214B0" w:rsidRDefault="00F1265B">
      <w:pPr>
        <w:pStyle w:val="yl"/>
        <w:adjustRightInd w:val="0"/>
        <w:snapToGrid w:val="0"/>
        <w:spacing w:line="360" w:lineRule="auto"/>
        <w:ind w:firstLineChars="200" w:firstLine="480"/>
        <w:rPr>
          <w:rFonts w:ascii="Times New Roman"/>
          <w:color w:val="000000" w:themeColor="text1"/>
        </w:rPr>
      </w:pPr>
      <w:r w:rsidRPr="00A214B0">
        <w:rPr>
          <w:rFonts w:ascii="Times New Roman"/>
          <w:color w:val="000000" w:themeColor="text1"/>
        </w:rPr>
        <w:t>评估范围涉及的非流动负债主要为其他非流动负债，评估基准日其他非流动负债账面价值为</w:t>
      </w:r>
      <w:r w:rsidRPr="00A214B0">
        <w:rPr>
          <w:rFonts w:ascii="Times New Roman"/>
          <w:color w:val="000000" w:themeColor="text1"/>
        </w:rPr>
        <w:t xml:space="preserve">1,010,000.00 </w:t>
      </w:r>
      <w:r w:rsidRPr="00A214B0">
        <w:rPr>
          <w:rFonts w:ascii="Times New Roman"/>
          <w:color w:val="000000" w:themeColor="text1"/>
        </w:rPr>
        <w:t>元，为省级重点研发专项资金、企业知识产权战略推进计划的政府补助款，评估人员对该笔款项进行核对、查阅相关凭证并向企业相关人员询问，</w:t>
      </w:r>
    </w:p>
    <w:p w:rsidR="00D56508" w:rsidRPr="00A214B0" w:rsidRDefault="00F1265B">
      <w:pPr>
        <w:pStyle w:val="yl"/>
        <w:adjustRightInd w:val="0"/>
        <w:snapToGrid w:val="0"/>
        <w:spacing w:line="360" w:lineRule="auto"/>
        <w:ind w:firstLine="0"/>
        <w:rPr>
          <w:rFonts w:ascii="Times New Roman"/>
          <w:color w:val="000000" w:themeColor="text1"/>
        </w:rPr>
      </w:pPr>
      <w:r w:rsidRPr="00A214B0">
        <w:rPr>
          <w:rFonts w:ascii="Times New Roman"/>
          <w:color w:val="000000" w:themeColor="text1"/>
        </w:rPr>
        <w:t>由于补助的项目目前均在执行中，该部分递延收益有收回的可能，因此递延收益按照账面值确认评估值。</w:t>
      </w:r>
    </w:p>
    <w:p w:rsidR="00D56508" w:rsidRPr="00A214B0" w:rsidRDefault="00F1265B">
      <w:pPr>
        <w:rPr>
          <w:rFonts w:ascii="Times New Roman" w:hAnsi="Times New Roman" w:cs="Times New Roman"/>
          <w:color w:val="000000" w:themeColor="text1"/>
        </w:rPr>
      </w:pPr>
      <w:r w:rsidRPr="00A214B0">
        <w:rPr>
          <w:rFonts w:ascii="Times New Roman" w:hAnsi="Times New Roman" w:cs="Times New Roman"/>
          <w:color w:val="000000" w:themeColor="text1"/>
        </w:rPr>
        <w:br w:type="page"/>
      </w:r>
    </w:p>
    <w:p w:rsidR="00D56508" w:rsidRPr="00A214B0" w:rsidRDefault="00F1265B">
      <w:pPr>
        <w:pStyle w:val="1"/>
        <w:adjustRightInd/>
        <w:spacing w:before="100" w:beforeAutospacing="1" w:after="100" w:afterAutospacing="1" w:line="360" w:lineRule="auto"/>
        <w:contextualSpacing/>
        <w:jc w:val="center"/>
        <w:rPr>
          <w:color w:val="000000" w:themeColor="text1"/>
          <w:sz w:val="36"/>
        </w:rPr>
      </w:pPr>
      <w:bookmarkStart w:id="95" w:name="_Toc1709"/>
      <w:bookmarkStart w:id="96" w:name="_Toc503865050"/>
      <w:r w:rsidRPr="00A214B0">
        <w:rPr>
          <w:color w:val="000000" w:themeColor="text1"/>
          <w:sz w:val="36"/>
        </w:rPr>
        <w:t>第五部分</w:t>
      </w:r>
      <w:r w:rsidRPr="00A214B0">
        <w:rPr>
          <w:color w:val="000000" w:themeColor="text1"/>
          <w:sz w:val="36"/>
        </w:rPr>
        <w:t xml:space="preserve"> </w:t>
      </w:r>
      <w:bookmarkStart w:id="97" w:name="_Toc448559740"/>
      <w:r w:rsidRPr="00A214B0">
        <w:rPr>
          <w:color w:val="000000" w:themeColor="text1"/>
          <w:sz w:val="36"/>
        </w:rPr>
        <w:t>收益法评估说明</w:t>
      </w:r>
      <w:bookmarkEnd w:id="95"/>
      <w:bookmarkEnd w:id="96"/>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98" w:name="_Toc29357"/>
      <w:bookmarkStart w:id="99" w:name="_Toc507541576"/>
      <w:r w:rsidRPr="00A214B0">
        <w:rPr>
          <w:rFonts w:ascii="Times New Roman" w:eastAsia="黑体" w:hAnsi="Times New Roman" w:cs="Times New Roman"/>
          <w:color w:val="000000" w:themeColor="text1"/>
          <w:sz w:val="28"/>
          <w:szCs w:val="28"/>
        </w:rPr>
        <w:t>一、收益法评估对象</w:t>
      </w:r>
      <w:bookmarkEnd w:id="98"/>
      <w:bookmarkEnd w:id="99"/>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bookmarkStart w:id="100" w:name="_Toc312703581"/>
      <w:bookmarkStart w:id="101" w:name="_Toc312703583"/>
      <w:bookmarkStart w:id="102" w:name="_Toc158537759"/>
      <w:r w:rsidRPr="00A214B0">
        <w:rPr>
          <w:rFonts w:ascii="Times New Roman" w:eastAsia="宋体" w:hAnsi="Times New Roman" w:cs="Times New Roman"/>
          <w:color w:val="000000" w:themeColor="text1"/>
          <w:sz w:val="24"/>
          <w:szCs w:val="24"/>
        </w:rPr>
        <w:t>本次评估对象为海企仓储在评估基准日</w:t>
      </w:r>
      <w:r w:rsidRPr="00A214B0">
        <w:rPr>
          <w:rFonts w:ascii="Times New Roman" w:eastAsia="宋体" w:hAnsi="Times New Roman" w:cs="Times New Roman"/>
          <w:color w:val="000000" w:themeColor="text1"/>
          <w:sz w:val="24"/>
          <w:szCs w:val="24"/>
        </w:rPr>
        <w:t>2019</w:t>
      </w:r>
      <w:r w:rsidRPr="00A214B0">
        <w:rPr>
          <w:rFonts w:ascii="Times New Roman" w:eastAsia="宋体" w:hAnsi="Times New Roman" w:cs="Times New Roman"/>
          <w:color w:val="000000" w:themeColor="text1"/>
          <w:sz w:val="24"/>
          <w:szCs w:val="24"/>
        </w:rPr>
        <w:t>年</w:t>
      </w:r>
      <w:r w:rsidRPr="00A214B0">
        <w:rPr>
          <w:rFonts w:ascii="Times New Roman" w:eastAsia="宋体" w:hAnsi="Times New Roman" w:cs="Times New Roman"/>
          <w:color w:val="000000" w:themeColor="text1"/>
          <w:sz w:val="24"/>
          <w:szCs w:val="24"/>
        </w:rPr>
        <w:t>4</w:t>
      </w:r>
      <w:r w:rsidRPr="00A214B0">
        <w:rPr>
          <w:rFonts w:ascii="Times New Roman" w:eastAsia="宋体" w:hAnsi="Times New Roman" w:cs="Times New Roman"/>
          <w:color w:val="000000" w:themeColor="text1"/>
          <w:sz w:val="24"/>
          <w:szCs w:val="24"/>
        </w:rPr>
        <w:t>月</w:t>
      </w:r>
      <w:r w:rsidRPr="00A214B0">
        <w:rPr>
          <w:rFonts w:ascii="Times New Roman" w:eastAsia="宋体" w:hAnsi="Times New Roman" w:cs="Times New Roman"/>
          <w:color w:val="000000" w:themeColor="text1"/>
          <w:sz w:val="24"/>
          <w:szCs w:val="24"/>
        </w:rPr>
        <w:t>30</w:t>
      </w:r>
      <w:r w:rsidRPr="00A214B0">
        <w:rPr>
          <w:rFonts w:ascii="Times New Roman" w:eastAsia="宋体" w:hAnsi="Times New Roman" w:cs="Times New Roman"/>
          <w:color w:val="000000" w:themeColor="text1"/>
          <w:sz w:val="24"/>
          <w:szCs w:val="24"/>
        </w:rPr>
        <w:t>日的股东全部权益价值。</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103" w:name="_Toc2659"/>
      <w:bookmarkStart w:id="104" w:name="_Toc507541577"/>
      <w:r w:rsidRPr="00A214B0">
        <w:rPr>
          <w:rFonts w:ascii="Times New Roman" w:eastAsia="黑体" w:hAnsi="Times New Roman" w:cs="Times New Roman"/>
          <w:color w:val="000000" w:themeColor="text1"/>
          <w:sz w:val="28"/>
          <w:szCs w:val="28"/>
        </w:rPr>
        <w:t>二、收益法的应用前提及选择的理由和依据</w:t>
      </w:r>
      <w:bookmarkEnd w:id="100"/>
      <w:bookmarkEnd w:id="103"/>
      <w:bookmarkEnd w:id="104"/>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（一）收益法的定义和原理。</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根据《资产评估</w:t>
      </w:r>
      <w:r w:rsidRPr="00A214B0">
        <w:rPr>
          <w:rFonts w:ascii="Times New Roman" w:eastAsia="宋体" w:hAnsi="Times New Roman" w:cs="Times New Roman" w:hint="eastAsia"/>
          <w:color w:val="000000" w:themeColor="text1"/>
          <w:sz w:val="24"/>
          <w:szCs w:val="24"/>
        </w:rPr>
        <w:t>执业</w:t>
      </w:r>
      <w:r w:rsidRPr="00A214B0">
        <w:rPr>
          <w:rFonts w:ascii="Times New Roman" w:eastAsia="宋体" w:hAnsi="Times New Roman" w:cs="Times New Roman"/>
          <w:color w:val="000000" w:themeColor="text1"/>
          <w:sz w:val="24"/>
          <w:szCs w:val="24"/>
        </w:rPr>
        <w:t>准则</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企业价值》，确定按收益途径，采用现金流折现法（</w:t>
      </w:r>
      <w:r w:rsidRPr="00A214B0">
        <w:rPr>
          <w:rFonts w:ascii="Times New Roman" w:eastAsia="宋体" w:hAnsi="Times New Roman" w:cs="Times New Roman"/>
          <w:color w:val="000000" w:themeColor="text1"/>
          <w:sz w:val="24"/>
          <w:szCs w:val="24"/>
        </w:rPr>
        <w:t>DCF</w:t>
      </w:r>
      <w:r w:rsidRPr="00A214B0">
        <w:rPr>
          <w:rFonts w:ascii="Times New Roman" w:eastAsia="宋体" w:hAnsi="Times New Roman" w:cs="Times New Roman"/>
          <w:color w:val="000000" w:themeColor="text1"/>
          <w:sz w:val="24"/>
          <w:szCs w:val="24"/>
        </w:rPr>
        <w:t>）对评估对象的价值进行估算。</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现金流折现法（</w:t>
      </w:r>
      <w:r w:rsidRPr="00A214B0">
        <w:rPr>
          <w:rFonts w:ascii="Times New Roman" w:eastAsia="宋体" w:hAnsi="Times New Roman" w:cs="Times New Roman"/>
          <w:color w:val="000000" w:themeColor="text1"/>
          <w:sz w:val="24"/>
          <w:szCs w:val="24"/>
        </w:rPr>
        <w:t>DCF</w:t>
      </w:r>
      <w:r w:rsidRPr="00A214B0">
        <w:rPr>
          <w:rFonts w:ascii="Times New Roman" w:eastAsia="宋体" w:hAnsi="Times New Roman" w:cs="Times New Roman"/>
          <w:color w:val="000000" w:themeColor="text1"/>
          <w:sz w:val="24"/>
          <w:szCs w:val="24"/>
        </w:rPr>
        <w:t>）是指通过将企业未来预期的现金流折算成现值，评估企业价值的一种方法。即通过估算企业未来预期现金流和采用适宜的折现率，将预期现金流折算成现时价值，得到企业价值。</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其适用的基本条件是：企业具备持续经营的基础和条件，资产经营与收益之间存在较稳定的对应关系，并且未来收益和风险能够预测且可量化。</w:t>
      </w:r>
    </w:p>
    <w:p w:rsidR="00D56508" w:rsidRPr="00A214B0" w:rsidRDefault="00F1265B">
      <w:pPr>
        <w:numPr>
          <w:ilvl w:val="0"/>
          <w:numId w:val="16"/>
        </w:num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收益法的应用前提。</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应用收益法评估资产必须具备以下前提条件：</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、企业未来收益进行合理预测；</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、企业未来收益风险程度相对应的收益率可以合理估算；</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（三）</w:t>
      </w:r>
      <w:r w:rsidRPr="00A214B0">
        <w:rPr>
          <w:rFonts w:ascii="Times New Roman" w:eastAsia="宋体" w:hAnsi="Times New Roman" w:cs="Times New Roman"/>
          <w:color w:val="000000" w:themeColor="text1"/>
          <w:sz w:val="24"/>
          <w:szCs w:val="24"/>
        </w:rPr>
        <w:t xml:space="preserve"> </w:t>
      </w:r>
      <w:r w:rsidRPr="00A214B0">
        <w:rPr>
          <w:rFonts w:ascii="Times New Roman" w:eastAsia="宋体" w:hAnsi="Times New Roman" w:cs="Times New Roman"/>
          <w:color w:val="000000" w:themeColor="text1"/>
          <w:sz w:val="24"/>
          <w:szCs w:val="24"/>
        </w:rPr>
        <w:t>收益法选择的理由和依据。</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本次评估采用收益法，我们认为可以对企业未来收益进行合理预测，企业未来收益风险程度相对应的收益率可以合理估算，具备收益法预测的前提条件，所以本次评估选用收益法。</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105" w:name="_Toc507541578"/>
      <w:bookmarkStart w:id="106" w:name="_Toc312703582"/>
      <w:bookmarkStart w:id="107" w:name="_Toc15442"/>
      <w:r w:rsidRPr="00A214B0">
        <w:rPr>
          <w:rFonts w:ascii="Times New Roman" w:eastAsia="黑体" w:hAnsi="Times New Roman" w:cs="Times New Roman"/>
          <w:color w:val="000000" w:themeColor="text1"/>
          <w:sz w:val="28"/>
          <w:szCs w:val="28"/>
        </w:rPr>
        <w:t>三、预测的假设条件</w:t>
      </w:r>
      <w:bookmarkEnd w:id="105"/>
      <w:bookmarkEnd w:id="106"/>
      <w:bookmarkEnd w:id="107"/>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收益预测是企业价值评估的基础，而任何预测都是在一定假设条件下进行的。一般包括：</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（一）一般假设</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．交易假设：假定所有待评估资产已经处在交易过程中，评估师根据待评估资产的交易条件等模拟市场进行估价。</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公开市场假设：公开市场假设是对资产拟进入的市场的条件以及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3</w:t>
      </w:r>
      <w:r w:rsidRPr="00A214B0">
        <w:rPr>
          <w:rFonts w:ascii="Times New Roman" w:eastAsia="宋体" w:hAnsi="Times New Roman" w:cs="Times New Roman"/>
          <w:color w:val="000000" w:themeColor="text1"/>
          <w:sz w:val="24"/>
          <w:szCs w:val="24"/>
        </w:rPr>
        <w:t>．持续使用假设：持续使用假设是对资产拟进入市场的条件以及资产在这样的市场条件下的资产状态的一种假定。首先委估资产正处于使用状态，其次假定处于使用状态的资产还将继续使用下去。在持续使用假设条件下，没有考虑资产用途转换或者最佳利用条件，其评估结果的使用范围受到限制。</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4.</w:t>
      </w:r>
      <w:r w:rsidRPr="00A214B0">
        <w:rPr>
          <w:rFonts w:ascii="Times New Roman" w:eastAsia="宋体" w:hAnsi="Times New Roman" w:cs="Times New Roman"/>
          <w:color w:val="000000" w:themeColor="text1"/>
          <w:sz w:val="24"/>
          <w:szCs w:val="24"/>
        </w:rPr>
        <w:t>假设评估基准日后国家宏观经济政策、产业政策和区域发展政策无重大变化；</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5.</w:t>
      </w:r>
      <w:r w:rsidRPr="00A214B0">
        <w:rPr>
          <w:rFonts w:ascii="Times New Roman" w:eastAsia="宋体" w:hAnsi="Times New Roman" w:cs="Times New Roman"/>
          <w:color w:val="000000" w:themeColor="text1"/>
          <w:sz w:val="24"/>
          <w:szCs w:val="24"/>
        </w:rPr>
        <w:t>假设评估基准日后被评估单位持续经营；</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6.</w:t>
      </w:r>
      <w:r w:rsidRPr="00A214B0">
        <w:rPr>
          <w:rFonts w:ascii="Times New Roman" w:eastAsia="宋体" w:hAnsi="Times New Roman" w:cs="Times New Roman"/>
          <w:color w:val="000000" w:themeColor="text1"/>
          <w:sz w:val="24"/>
          <w:szCs w:val="24"/>
        </w:rPr>
        <w:t>假设和被评估单位相关的利率、赋税基准及税率、政策性征收</w:t>
      </w:r>
      <w:r w:rsidRPr="00A214B0">
        <w:rPr>
          <w:rFonts w:ascii="Times New Roman" w:eastAsia="宋体" w:hAnsi="Times New Roman" w:cs="Times New Roman"/>
          <w:color w:val="000000" w:themeColor="text1"/>
          <w:sz w:val="24"/>
          <w:szCs w:val="24"/>
        </w:rPr>
        <w:t xml:space="preserve"> </w:t>
      </w:r>
      <w:r w:rsidRPr="00A214B0">
        <w:rPr>
          <w:rFonts w:ascii="Times New Roman" w:eastAsia="宋体" w:hAnsi="Times New Roman" w:cs="Times New Roman"/>
          <w:color w:val="000000" w:themeColor="text1"/>
          <w:sz w:val="24"/>
          <w:szCs w:val="24"/>
        </w:rPr>
        <w:t>费用等评估基准日后不发生重大变化；</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7.</w:t>
      </w:r>
      <w:r w:rsidRPr="00A214B0">
        <w:rPr>
          <w:rFonts w:ascii="Times New Roman" w:eastAsia="宋体" w:hAnsi="Times New Roman" w:cs="Times New Roman"/>
          <w:color w:val="000000" w:themeColor="text1"/>
          <w:sz w:val="24"/>
          <w:szCs w:val="24"/>
        </w:rPr>
        <w:t>假设评估基准日后被评估单位的管理层是负责的、稳定的，且有能力担当其职务；</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8.</w:t>
      </w:r>
      <w:r w:rsidRPr="00A214B0">
        <w:rPr>
          <w:rFonts w:ascii="Times New Roman" w:eastAsia="宋体" w:hAnsi="Times New Roman" w:cs="Times New Roman"/>
          <w:color w:val="000000" w:themeColor="text1"/>
          <w:sz w:val="24"/>
          <w:szCs w:val="24"/>
        </w:rPr>
        <w:t>假设被评估单位完全遵守所有相关的法律法规；</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9.</w:t>
      </w:r>
      <w:r w:rsidRPr="00A214B0">
        <w:rPr>
          <w:rFonts w:ascii="Times New Roman" w:eastAsia="宋体" w:hAnsi="Times New Roman" w:cs="Times New Roman"/>
          <w:color w:val="000000" w:themeColor="text1"/>
          <w:sz w:val="24"/>
          <w:szCs w:val="24"/>
        </w:rPr>
        <w:t>假设评估基准日后无不可抗力对被评估单位造成重大不利影响。</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二</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特殊假设</w:t>
      </w:r>
      <w:r w:rsidRPr="00A214B0">
        <w:rPr>
          <w:rFonts w:ascii="Times New Roman" w:eastAsia="宋体" w:hAnsi="Times New Roman" w:cs="Times New Roman"/>
          <w:color w:val="000000" w:themeColor="text1"/>
          <w:sz w:val="24"/>
          <w:szCs w:val="24"/>
        </w:rPr>
        <w:t xml:space="preserve"> </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假设评估基准日后被评估单位采用的会计政策和编写本评估报告时所采用的会计政策在重要方面保持一致；</w:t>
      </w:r>
      <w:r w:rsidRPr="00A214B0">
        <w:rPr>
          <w:rFonts w:ascii="Times New Roman" w:eastAsia="宋体" w:hAnsi="Times New Roman" w:cs="Times New Roman"/>
          <w:color w:val="000000" w:themeColor="text1"/>
          <w:sz w:val="24"/>
          <w:szCs w:val="24"/>
        </w:rPr>
        <w:t xml:space="preserve"> </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假设评估基准日后被评估单位在现有管理方式和管理水平的基础上，经营范围、方式与目前保持一致；</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3.</w:t>
      </w:r>
      <w:r w:rsidRPr="00A214B0">
        <w:rPr>
          <w:rFonts w:ascii="Times New Roman" w:eastAsia="宋体" w:hAnsi="Times New Roman" w:cs="Times New Roman"/>
          <w:color w:val="000000" w:themeColor="text1"/>
        </w:rPr>
        <w:t xml:space="preserve"> </w:t>
      </w:r>
      <w:r w:rsidRPr="00A214B0">
        <w:rPr>
          <w:rFonts w:ascii="Times New Roman" w:eastAsia="宋体" w:hAnsi="Times New Roman" w:cs="Times New Roman"/>
          <w:color w:val="000000" w:themeColor="text1"/>
          <w:sz w:val="24"/>
          <w:szCs w:val="24"/>
        </w:rPr>
        <w:t>假设企业的经营性收入、支出为平均流入和流出的；</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4.</w:t>
      </w:r>
      <w:r w:rsidRPr="00A214B0">
        <w:rPr>
          <w:rFonts w:ascii="Times New Roman" w:eastAsia="宋体" w:hAnsi="Times New Roman" w:cs="Times New Roman"/>
          <w:color w:val="000000" w:themeColor="text1"/>
          <w:sz w:val="24"/>
          <w:szCs w:val="24"/>
        </w:rPr>
        <w:t>假设被评估单位目前的经营模式未来可以继续保持，评估基准日后经营状况不发生重大变化；</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5.</w:t>
      </w:r>
      <w:r w:rsidRPr="00A214B0">
        <w:rPr>
          <w:rFonts w:ascii="Times New Roman" w:eastAsia="宋体" w:hAnsi="Times New Roman" w:cs="Times New Roman"/>
          <w:color w:val="000000" w:themeColor="text1"/>
          <w:sz w:val="24"/>
          <w:szCs w:val="24"/>
        </w:rPr>
        <w:t>假设委托人（被评估单位）提供的与本次评估相关全部资料真实、完整、合法、有效；</w:t>
      </w:r>
      <w:r w:rsidRPr="00A214B0">
        <w:rPr>
          <w:rFonts w:ascii="Times New Roman" w:eastAsia="宋体" w:hAnsi="Times New Roman" w:cs="Times New Roman"/>
          <w:color w:val="000000" w:themeColor="text1"/>
          <w:sz w:val="24"/>
          <w:szCs w:val="24"/>
        </w:rPr>
        <w:tab/>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宋体" w:hAnsi="Times New Roman" w:cs="Times New Roman"/>
          <w:color w:val="000000" w:themeColor="text1"/>
          <w:sz w:val="28"/>
          <w:szCs w:val="28"/>
        </w:rPr>
      </w:pPr>
      <w:bookmarkStart w:id="108" w:name="_Toc507541579"/>
      <w:bookmarkStart w:id="109" w:name="_Toc22211"/>
      <w:r w:rsidRPr="00A214B0">
        <w:rPr>
          <w:rFonts w:ascii="Times New Roman" w:eastAsia="黑体" w:hAnsi="Times New Roman" w:cs="Times New Roman"/>
          <w:color w:val="000000" w:themeColor="text1"/>
          <w:sz w:val="28"/>
          <w:szCs w:val="28"/>
        </w:rPr>
        <w:t>四、宏观经济环境分析、企业经营、资产、财务分析</w:t>
      </w:r>
      <w:bookmarkEnd w:id="101"/>
      <w:bookmarkEnd w:id="108"/>
      <w:bookmarkEnd w:id="109"/>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（一）国内宏观经济分析</w:t>
      </w:r>
    </w:p>
    <w:p w:rsidR="00D56508" w:rsidRPr="00A214B0" w:rsidRDefault="00F1265B">
      <w:pPr>
        <w:adjustRightInd w:val="0"/>
        <w:snapToGrid w:val="0"/>
        <w:spacing w:line="360" w:lineRule="auto"/>
        <w:ind w:firstLineChars="200" w:firstLine="480"/>
        <w:contextualSpacing/>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）国内经济分析</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2018</w:t>
      </w:r>
      <w:r w:rsidRPr="00A214B0">
        <w:rPr>
          <w:color w:val="000000" w:themeColor="text1"/>
          <w:szCs w:val="24"/>
        </w:rPr>
        <w:t>年宏观经济增长基本稳定，经济运行仍处在合理运行区间。</w:t>
      </w:r>
      <w:r w:rsidRPr="00A214B0">
        <w:rPr>
          <w:color w:val="000000" w:themeColor="text1"/>
          <w:szCs w:val="24"/>
        </w:rPr>
        <w:t>2018</w:t>
      </w:r>
      <w:r w:rsidRPr="00A214B0">
        <w:rPr>
          <w:color w:val="000000" w:themeColor="text1"/>
          <w:szCs w:val="24"/>
        </w:rPr>
        <w:t>年，我国国内生产总值为</w:t>
      </w:r>
      <w:r w:rsidRPr="00A214B0">
        <w:rPr>
          <w:color w:val="000000" w:themeColor="text1"/>
          <w:szCs w:val="24"/>
        </w:rPr>
        <w:t>900309</w:t>
      </w:r>
      <w:r w:rsidRPr="00A214B0">
        <w:rPr>
          <w:color w:val="000000" w:themeColor="text1"/>
          <w:szCs w:val="24"/>
        </w:rPr>
        <w:t>亿元，按可比价格计算，同比增长</w:t>
      </w:r>
      <w:r w:rsidRPr="00A214B0">
        <w:rPr>
          <w:color w:val="000000" w:themeColor="text1"/>
          <w:szCs w:val="24"/>
        </w:rPr>
        <w:t>6.6%</w:t>
      </w:r>
      <w:r w:rsidRPr="00A214B0">
        <w:rPr>
          <w:color w:val="000000" w:themeColor="text1"/>
          <w:szCs w:val="24"/>
        </w:rPr>
        <w:t>。尽管经济运行仍处在合理区间，但下行表现较为明显。四季度国内生产总值为</w:t>
      </w:r>
      <w:r w:rsidRPr="00A214B0">
        <w:rPr>
          <w:color w:val="000000" w:themeColor="text1"/>
          <w:szCs w:val="24"/>
        </w:rPr>
        <w:t>253599</w:t>
      </w:r>
      <w:r w:rsidRPr="00A214B0">
        <w:rPr>
          <w:color w:val="000000" w:themeColor="text1"/>
          <w:szCs w:val="24"/>
        </w:rPr>
        <w:t>亿元，同比增长</w:t>
      </w:r>
      <w:r w:rsidRPr="00A214B0">
        <w:rPr>
          <w:color w:val="000000" w:themeColor="text1"/>
          <w:szCs w:val="24"/>
        </w:rPr>
        <w:t>6.4%</w:t>
      </w:r>
      <w:r w:rsidRPr="00A214B0">
        <w:rPr>
          <w:color w:val="000000" w:themeColor="text1"/>
          <w:szCs w:val="24"/>
        </w:rPr>
        <w:t>。</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noProof/>
          <w:color w:val="000000" w:themeColor="text1"/>
          <w:lang w:val="en-US"/>
        </w:rPr>
        <w:drawing>
          <wp:inline distT="0" distB="0" distL="0" distR="0" wp14:anchorId="69EFFE35" wp14:editId="36F81AAF">
            <wp:extent cx="4761865" cy="2968625"/>
            <wp:effectExtent l="0" t="0" r="635" b="3175"/>
            <wp:docPr id="5" name="图片 5" descr="http://5b0988e595225.cdn.sohucs.com/images/20190208/852e66f7cd3e4b1a9ffbb9dfaf67e2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5b0988e595225.cdn.sohucs.com/images/20190208/852e66f7cd3e4b1a9ffbb9dfaf67e2c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61865" cy="2968625"/>
                    </a:xfrm>
                    <a:prstGeom prst="rect">
                      <a:avLst/>
                    </a:prstGeom>
                    <a:noFill/>
                    <a:ln>
                      <a:noFill/>
                    </a:ln>
                  </pic:spPr>
                </pic:pic>
              </a:graphicData>
            </a:graphic>
          </wp:inline>
        </w:drawing>
      </w:r>
    </w:p>
    <w:p w:rsidR="00D56508" w:rsidRPr="00A214B0" w:rsidRDefault="00F1265B">
      <w:pPr>
        <w:pStyle w:val="a1"/>
        <w:adjustRightInd w:val="0"/>
        <w:snapToGrid w:val="0"/>
        <w:spacing w:line="360" w:lineRule="auto"/>
        <w:ind w:firstLineChars="200" w:firstLine="480"/>
        <w:jc w:val="left"/>
        <w:rPr>
          <w:color w:val="000000" w:themeColor="text1"/>
          <w:szCs w:val="24"/>
        </w:rPr>
      </w:pPr>
      <w:r w:rsidRPr="00A214B0">
        <w:rPr>
          <w:color w:val="000000" w:themeColor="text1"/>
          <w:shd w:val="clear" w:color="auto" w:fill="FFFFFF"/>
        </w:rPr>
        <w:t>从需求角度来看，消费对经济的动作用进一步增强，需求结构不断改善。在社会消费品零售中，消费升级类商品保持较快增长。消费升级类商品较快增长，全年限额以上单位化妆品类、家用电器和音像器材类、通讯器材类商品零售额增速分别比限额以上社会消费品零售额增速高</w:t>
      </w:r>
      <w:r w:rsidRPr="00A214B0">
        <w:rPr>
          <w:color w:val="000000" w:themeColor="text1"/>
          <w:shd w:val="clear" w:color="auto" w:fill="FFFFFF"/>
        </w:rPr>
        <w:t>3.9</w:t>
      </w:r>
      <w:r w:rsidRPr="00A214B0">
        <w:rPr>
          <w:color w:val="000000" w:themeColor="text1"/>
          <w:shd w:val="clear" w:color="auto" w:fill="FFFFFF"/>
        </w:rPr>
        <w:t>、</w:t>
      </w:r>
      <w:r w:rsidRPr="00A214B0">
        <w:rPr>
          <w:color w:val="000000" w:themeColor="text1"/>
          <w:shd w:val="clear" w:color="auto" w:fill="FFFFFF"/>
        </w:rPr>
        <w:t>3.2</w:t>
      </w:r>
      <w:r w:rsidRPr="00A214B0">
        <w:rPr>
          <w:color w:val="000000" w:themeColor="text1"/>
          <w:shd w:val="clear" w:color="auto" w:fill="FFFFFF"/>
        </w:rPr>
        <w:t>和</w:t>
      </w:r>
      <w:r w:rsidRPr="00A214B0">
        <w:rPr>
          <w:color w:val="000000" w:themeColor="text1"/>
          <w:shd w:val="clear" w:color="auto" w:fill="FFFFFF"/>
        </w:rPr>
        <w:t>1.4</w:t>
      </w:r>
      <w:r w:rsidRPr="00A214B0">
        <w:rPr>
          <w:color w:val="000000" w:themeColor="text1"/>
          <w:shd w:val="clear" w:color="auto" w:fill="FFFFFF"/>
        </w:rPr>
        <w:t>个百分点；从实物消费来看，升级类的一些商品消费仍然保持较快增长，比如化妆品、智能家电保持了比较快的增速。汽车销售增速有所放缓，</w:t>
      </w:r>
      <w:r w:rsidRPr="00A214B0">
        <w:rPr>
          <w:color w:val="000000" w:themeColor="text1"/>
          <w:shd w:val="clear" w:color="auto" w:fill="FFFFFF"/>
        </w:rPr>
        <w:t>2018</w:t>
      </w:r>
      <w:r w:rsidRPr="00A214B0">
        <w:rPr>
          <w:color w:val="000000" w:themeColor="text1"/>
          <w:shd w:val="clear" w:color="auto" w:fill="FFFFFF"/>
        </w:rPr>
        <w:t>年汽车销量为</w:t>
      </w:r>
      <w:r w:rsidRPr="00A214B0">
        <w:rPr>
          <w:color w:val="000000" w:themeColor="text1"/>
          <w:shd w:val="clear" w:color="auto" w:fill="FFFFFF"/>
        </w:rPr>
        <w:t>2808.06</w:t>
      </w:r>
      <w:r w:rsidRPr="00A214B0">
        <w:rPr>
          <w:color w:val="000000" w:themeColor="text1"/>
          <w:shd w:val="clear" w:color="auto" w:fill="FFFFFF"/>
        </w:rPr>
        <w:t>万辆，同比下降</w:t>
      </w:r>
      <w:r w:rsidRPr="00A214B0">
        <w:rPr>
          <w:color w:val="000000" w:themeColor="text1"/>
          <w:shd w:val="clear" w:color="auto" w:fill="FFFFFF"/>
        </w:rPr>
        <w:t>2.76%</w:t>
      </w:r>
      <w:r w:rsidRPr="00A214B0">
        <w:rPr>
          <w:color w:val="000000" w:themeColor="text1"/>
          <w:shd w:val="clear" w:color="auto" w:fill="FFFFFF"/>
        </w:rPr>
        <w:t>，为</w:t>
      </w:r>
      <w:r w:rsidRPr="00A214B0">
        <w:rPr>
          <w:color w:val="000000" w:themeColor="text1"/>
          <w:shd w:val="clear" w:color="auto" w:fill="FFFFFF"/>
        </w:rPr>
        <w:t>28</w:t>
      </w:r>
      <w:r w:rsidRPr="00A214B0">
        <w:rPr>
          <w:color w:val="000000" w:themeColor="text1"/>
          <w:shd w:val="clear" w:color="auto" w:fill="FFFFFF"/>
        </w:rPr>
        <w:t>年来首度出现下滑。</w:t>
      </w:r>
      <w:r w:rsidRPr="00A214B0">
        <w:rPr>
          <w:noProof/>
          <w:color w:val="000000" w:themeColor="text1"/>
          <w:lang w:val="en-US"/>
        </w:rPr>
        <w:drawing>
          <wp:inline distT="0" distB="0" distL="0" distR="0" wp14:anchorId="672486D6" wp14:editId="7F55A2B8">
            <wp:extent cx="4756150" cy="2945130"/>
            <wp:effectExtent l="0" t="0" r="6350" b="7620"/>
            <wp:docPr id="6" name="图片 6" descr="http://5b0988e595225.cdn.sohucs.com/images/20190208/d37053b5c00f42f5af4dc02810e432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5b0988e595225.cdn.sohucs.com/images/20190208/d37053b5c00f42f5af4dc02810e432d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56150" cy="2945130"/>
                    </a:xfrm>
                    <a:prstGeom prst="rect">
                      <a:avLst/>
                    </a:prstGeom>
                    <a:noFill/>
                    <a:ln>
                      <a:noFill/>
                    </a:ln>
                  </pic:spPr>
                </pic:pic>
              </a:graphicData>
            </a:graphic>
          </wp:inline>
        </w:drawing>
      </w:r>
    </w:p>
    <w:p w:rsidR="00D56508" w:rsidRPr="00A214B0" w:rsidRDefault="00F1265B">
      <w:pPr>
        <w:pStyle w:val="aa"/>
        <w:adjustRightInd w:val="0"/>
        <w:snapToGrid w:val="0"/>
        <w:spacing w:line="360" w:lineRule="auto"/>
        <w:ind w:firstLineChars="200" w:firstLine="480"/>
        <w:jc w:val="center"/>
        <w:rPr>
          <w:color w:val="000000" w:themeColor="text1"/>
          <w:sz w:val="24"/>
          <w:szCs w:val="24"/>
        </w:rPr>
      </w:pPr>
      <w:r w:rsidRPr="00A214B0">
        <w:rPr>
          <w:color w:val="000000" w:themeColor="text1"/>
          <w:sz w:val="24"/>
          <w:szCs w:val="24"/>
        </w:rPr>
        <w:t>从投资角度看，面对固定资产投资增速总体放缓的形势，一系列稳定投资的政策措施，对稳定投资发挥了积极作用。</w:t>
      </w:r>
      <w:r w:rsidRPr="00A214B0">
        <w:rPr>
          <w:color w:val="000000" w:themeColor="text1"/>
          <w:sz w:val="24"/>
          <w:szCs w:val="24"/>
        </w:rPr>
        <w:t>2018</w:t>
      </w:r>
      <w:r w:rsidRPr="00A214B0">
        <w:rPr>
          <w:color w:val="000000" w:themeColor="text1"/>
          <w:sz w:val="24"/>
          <w:szCs w:val="24"/>
        </w:rPr>
        <w:t>年</w:t>
      </w:r>
      <w:r w:rsidRPr="00A214B0">
        <w:rPr>
          <w:color w:val="000000" w:themeColor="text1"/>
          <w:sz w:val="24"/>
          <w:szCs w:val="24"/>
        </w:rPr>
        <w:t>1-12</w:t>
      </w:r>
      <w:r w:rsidRPr="00A214B0">
        <w:rPr>
          <w:color w:val="000000" w:themeColor="text1"/>
          <w:sz w:val="24"/>
          <w:szCs w:val="24"/>
        </w:rPr>
        <w:t>月，全国固定资产投资（不含农户）</w:t>
      </w:r>
      <w:r w:rsidRPr="00A214B0">
        <w:rPr>
          <w:color w:val="000000" w:themeColor="text1"/>
          <w:sz w:val="24"/>
          <w:szCs w:val="24"/>
        </w:rPr>
        <w:t>635636</w:t>
      </w:r>
      <w:r w:rsidRPr="00A214B0">
        <w:rPr>
          <w:color w:val="000000" w:themeColor="text1"/>
          <w:sz w:val="24"/>
          <w:szCs w:val="24"/>
        </w:rPr>
        <w:t>亿元，比上年增长</w:t>
      </w:r>
      <w:r w:rsidRPr="00A214B0">
        <w:rPr>
          <w:color w:val="000000" w:themeColor="text1"/>
          <w:sz w:val="24"/>
          <w:szCs w:val="24"/>
        </w:rPr>
        <w:t>5.9%</w:t>
      </w:r>
      <w:r w:rsidRPr="00A214B0">
        <w:rPr>
          <w:color w:val="000000" w:themeColor="text1"/>
          <w:sz w:val="24"/>
          <w:szCs w:val="24"/>
        </w:rPr>
        <w:t>，增速与</w:t>
      </w:r>
      <w:r w:rsidRPr="00A214B0">
        <w:rPr>
          <w:color w:val="000000" w:themeColor="text1"/>
          <w:sz w:val="24"/>
          <w:szCs w:val="24"/>
        </w:rPr>
        <w:t>1-11</w:t>
      </w:r>
      <w:r w:rsidRPr="00A214B0">
        <w:rPr>
          <w:color w:val="000000" w:themeColor="text1"/>
          <w:sz w:val="24"/>
          <w:szCs w:val="24"/>
        </w:rPr>
        <w:t>月份持平，比上年同期回落</w:t>
      </w:r>
      <w:r w:rsidRPr="00A214B0">
        <w:rPr>
          <w:color w:val="000000" w:themeColor="text1"/>
          <w:sz w:val="24"/>
          <w:szCs w:val="24"/>
        </w:rPr>
        <w:t>1.3</w:t>
      </w:r>
      <w:r w:rsidRPr="00A214B0">
        <w:rPr>
          <w:color w:val="000000" w:themeColor="text1"/>
          <w:sz w:val="24"/>
          <w:szCs w:val="24"/>
        </w:rPr>
        <w:t>个百分点。从结构来看，制造业投资增速在加快，房地产投资增长速度略有放缓，但还保持在</w:t>
      </w:r>
      <w:r w:rsidRPr="00A214B0">
        <w:rPr>
          <w:color w:val="000000" w:themeColor="text1"/>
          <w:sz w:val="24"/>
          <w:szCs w:val="24"/>
        </w:rPr>
        <w:t>10%</w:t>
      </w:r>
      <w:r w:rsidRPr="00A214B0">
        <w:rPr>
          <w:color w:val="000000" w:themeColor="text1"/>
          <w:sz w:val="24"/>
          <w:szCs w:val="24"/>
        </w:rPr>
        <w:t>左右的较快增长。基础设施投资增长</w:t>
      </w:r>
      <w:r w:rsidRPr="00A214B0">
        <w:rPr>
          <w:color w:val="000000" w:themeColor="text1"/>
          <w:sz w:val="24"/>
          <w:szCs w:val="24"/>
        </w:rPr>
        <w:t>3.8%</w:t>
      </w:r>
      <w:r w:rsidRPr="00A214B0">
        <w:rPr>
          <w:color w:val="000000" w:themeColor="text1"/>
          <w:sz w:val="24"/>
          <w:szCs w:val="24"/>
        </w:rPr>
        <w:t>，进一步回升；民间投资方面，由于房地产市场向好的趋势，民间投资增速保持较快增长状态，房地产投资累计增长速度为</w:t>
      </w:r>
      <w:r w:rsidRPr="00A214B0">
        <w:rPr>
          <w:color w:val="000000" w:themeColor="text1"/>
          <w:sz w:val="24"/>
          <w:szCs w:val="24"/>
        </w:rPr>
        <w:t>9.5%</w:t>
      </w:r>
      <w:r w:rsidRPr="00A214B0">
        <w:rPr>
          <w:color w:val="000000" w:themeColor="text1"/>
          <w:sz w:val="24"/>
          <w:szCs w:val="24"/>
        </w:rPr>
        <w:t>。</w:t>
      </w:r>
      <w:r w:rsidRPr="00A214B0">
        <w:rPr>
          <w:noProof/>
          <w:color w:val="000000" w:themeColor="text1"/>
        </w:rPr>
        <w:drawing>
          <wp:inline distT="0" distB="0" distL="0" distR="0" wp14:anchorId="13506B07" wp14:editId="0F269A87">
            <wp:extent cx="4417695" cy="2998470"/>
            <wp:effectExtent l="0" t="0" r="1905" b="11430"/>
            <wp:docPr id="7" name="图片 7" descr="http://5b0988e595225.cdn.sohucs.com/images/20190208/2ade11a4273248a1a10a84ebb8881f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5b0988e595225.cdn.sohucs.com/images/20190208/2ade11a4273248a1a10a84ebb8881f4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17695" cy="2998470"/>
                    </a:xfrm>
                    <a:prstGeom prst="rect">
                      <a:avLst/>
                    </a:prstGeom>
                    <a:noFill/>
                    <a:ln>
                      <a:noFill/>
                    </a:ln>
                  </pic:spPr>
                </pic:pic>
              </a:graphicData>
            </a:graphic>
          </wp:inline>
        </w:drawing>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基建投资方面，增速下滑较为明显。基础设施投资（不含电力、热力、燃气及水生产和供应业）比上年增长</w:t>
      </w:r>
      <w:r w:rsidRPr="00A214B0">
        <w:rPr>
          <w:color w:val="000000" w:themeColor="text1"/>
          <w:sz w:val="24"/>
          <w:szCs w:val="24"/>
        </w:rPr>
        <w:t>3.8%</w:t>
      </w:r>
      <w:r w:rsidRPr="00A214B0">
        <w:rPr>
          <w:color w:val="000000" w:themeColor="text1"/>
          <w:sz w:val="24"/>
          <w:szCs w:val="24"/>
        </w:rPr>
        <w:t>，比上年回落</w:t>
      </w:r>
      <w:r w:rsidRPr="00A214B0">
        <w:rPr>
          <w:color w:val="000000" w:themeColor="text1"/>
          <w:sz w:val="24"/>
          <w:szCs w:val="24"/>
        </w:rPr>
        <w:t>15.2</w:t>
      </w:r>
      <w:r w:rsidRPr="00A214B0">
        <w:rPr>
          <w:color w:val="000000" w:themeColor="text1"/>
          <w:sz w:val="24"/>
          <w:szCs w:val="24"/>
        </w:rPr>
        <w:t>个百分点。其中，水利管理业投资下降</w:t>
      </w:r>
      <w:r w:rsidRPr="00A214B0">
        <w:rPr>
          <w:color w:val="000000" w:themeColor="text1"/>
          <w:sz w:val="24"/>
          <w:szCs w:val="24"/>
        </w:rPr>
        <w:t>4.9%</w:t>
      </w:r>
      <w:r w:rsidRPr="00A214B0">
        <w:rPr>
          <w:color w:val="000000" w:themeColor="text1"/>
          <w:sz w:val="24"/>
          <w:szCs w:val="24"/>
        </w:rPr>
        <w:t>；公共设施管理业投资增长</w:t>
      </w:r>
      <w:r w:rsidRPr="00A214B0">
        <w:rPr>
          <w:color w:val="000000" w:themeColor="text1"/>
          <w:sz w:val="24"/>
          <w:szCs w:val="24"/>
        </w:rPr>
        <w:t>2.5%</w:t>
      </w:r>
      <w:r w:rsidRPr="00A214B0">
        <w:rPr>
          <w:color w:val="000000" w:themeColor="text1"/>
          <w:sz w:val="24"/>
          <w:szCs w:val="24"/>
        </w:rPr>
        <w:t>；道路运输业投资增长</w:t>
      </w:r>
      <w:r w:rsidRPr="00A214B0">
        <w:rPr>
          <w:color w:val="000000" w:themeColor="text1"/>
          <w:sz w:val="24"/>
          <w:szCs w:val="24"/>
        </w:rPr>
        <w:t>8.2%</w:t>
      </w:r>
      <w:r w:rsidRPr="00A214B0">
        <w:rPr>
          <w:color w:val="000000" w:themeColor="text1"/>
          <w:sz w:val="24"/>
          <w:szCs w:val="24"/>
        </w:rPr>
        <w:t>，增速回落</w:t>
      </w:r>
      <w:r w:rsidRPr="00A214B0">
        <w:rPr>
          <w:color w:val="000000" w:themeColor="text1"/>
          <w:sz w:val="24"/>
          <w:szCs w:val="24"/>
        </w:rPr>
        <w:t>0.3</w:t>
      </w:r>
      <w:r w:rsidRPr="00A214B0">
        <w:rPr>
          <w:color w:val="000000" w:themeColor="text1"/>
          <w:sz w:val="24"/>
          <w:szCs w:val="24"/>
        </w:rPr>
        <w:t>个百分点；铁路运输业投资下降</w:t>
      </w:r>
      <w:r w:rsidRPr="00A214B0">
        <w:rPr>
          <w:color w:val="000000" w:themeColor="text1"/>
          <w:sz w:val="24"/>
          <w:szCs w:val="24"/>
        </w:rPr>
        <w:t>5.1%</w:t>
      </w:r>
      <w:r w:rsidRPr="00A214B0">
        <w:rPr>
          <w:color w:val="000000" w:themeColor="text1"/>
          <w:sz w:val="24"/>
          <w:szCs w:val="24"/>
        </w:rPr>
        <w:t>，降幅扩大</w:t>
      </w:r>
      <w:r w:rsidRPr="00A214B0">
        <w:rPr>
          <w:color w:val="000000" w:themeColor="text1"/>
          <w:sz w:val="24"/>
          <w:szCs w:val="24"/>
        </w:rPr>
        <w:t>0.6</w:t>
      </w:r>
      <w:r w:rsidRPr="00A214B0">
        <w:rPr>
          <w:color w:val="000000" w:themeColor="text1"/>
          <w:sz w:val="24"/>
          <w:szCs w:val="24"/>
        </w:rPr>
        <w:t>个百分点。</w:t>
      </w:r>
    </w:p>
    <w:p w:rsidR="00D56508" w:rsidRPr="00A214B0" w:rsidRDefault="00F1265B">
      <w:pPr>
        <w:pStyle w:val="aa"/>
        <w:adjustRightInd w:val="0"/>
        <w:snapToGrid w:val="0"/>
        <w:spacing w:line="360" w:lineRule="auto"/>
        <w:rPr>
          <w:color w:val="000000" w:themeColor="text1"/>
          <w:sz w:val="24"/>
          <w:szCs w:val="24"/>
        </w:rPr>
      </w:pPr>
      <w:r w:rsidRPr="00A214B0">
        <w:rPr>
          <w:noProof/>
          <w:color w:val="000000" w:themeColor="text1"/>
        </w:rPr>
        <w:drawing>
          <wp:inline distT="0" distB="0" distL="0" distR="0" wp14:anchorId="5702DC3F" wp14:editId="23C8475D">
            <wp:extent cx="4744085" cy="2950845"/>
            <wp:effectExtent l="0" t="0" r="18415" b="1905"/>
            <wp:docPr id="8" name="图片 8" descr="http://5b0988e595225.cdn.sohucs.com/images/20190208/794b0b2fd14844c4ba33c3b03fa48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5b0988e595225.cdn.sohucs.com/images/20190208/794b0b2fd14844c4ba33c3b03fa4846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44085" cy="2950845"/>
                    </a:xfrm>
                    <a:prstGeom prst="rect">
                      <a:avLst/>
                    </a:prstGeom>
                    <a:noFill/>
                    <a:ln>
                      <a:noFill/>
                    </a:ln>
                  </pic:spPr>
                </pic:pic>
              </a:graphicData>
            </a:graphic>
          </wp:inline>
        </w:drawing>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出口角度看，目前我国在对外贸易领域面临诸多风险和挑战，中美贸易争端将对中国出口市场造成较大影响。据海关统计，</w:t>
      </w:r>
      <w:r w:rsidRPr="00A214B0">
        <w:rPr>
          <w:color w:val="000000" w:themeColor="text1"/>
          <w:sz w:val="24"/>
          <w:szCs w:val="24"/>
        </w:rPr>
        <w:t>2018</w:t>
      </w:r>
      <w:r w:rsidRPr="00A214B0">
        <w:rPr>
          <w:color w:val="000000" w:themeColor="text1"/>
          <w:sz w:val="24"/>
          <w:szCs w:val="24"/>
        </w:rPr>
        <w:t>年全年货物进出口总额</w:t>
      </w:r>
      <w:r w:rsidRPr="00A214B0">
        <w:rPr>
          <w:color w:val="000000" w:themeColor="text1"/>
          <w:sz w:val="24"/>
          <w:szCs w:val="24"/>
        </w:rPr>
        <w:t>305050</w:t>
      </w:r>
      <w:r w:rsidRPr="00A214B0">
        <w:rPr>
          <w:color w:val="000000" w:themeColor="text1"/>
          <w:sz w:val="24"/>
          <w:szCs w:val="24"/>
        </w:rPr>
        <w:t>亿元，比上年增长</w:t>
      </w:r>
      <w:r w:rsidRPr="00A214B0">
        <w:rPr>
          <w:color w:val="000000" w:themeColor="text1"/>
          <w:sz w:val="24"/>
          <w:szCs w:val="24"/>
        </w:rPr>
        <w:t>9.7%</w:t>
      </w:r>
      <w:r w:rsidRPr="00A214B0">
        <w:rPr>
          <w:color w:val="000000" w:themeColor="text1"/>
          <w:sz w:val="24"/>
          <w:szCs w:val="24"/>
        </w:rPr>
        <w:t>；贸易总量首次超过</w:t>
      </w:r>
      <w:r w:rsidRPr="00A214B0">
        <w:rPr>
          <w:color w:val="000000" w:themeColor="text1"/>
          <w:sz w:val="24"/>
          <w:szCs w:val="24"/>
        </w:rPr>
        <w:t>30</w:t>
      </w:r>
      <w:r w:rsidRPr="00A214B0">
        <w:rPr>
          <w:color w:val="000000" w:themeColor="text1"/>
          <w:sz w:val="24"/>
          <w:szCs w:val="24"/>
        </w:rPr>
        <w:t>万亿元，创历史新高；数量增长，结构优化，进出口稳中向好的目标较好实现。其中，出口</w:t>
      </w:r>
      <w:r w:rsidRPr="00A214B0">
        <w:rPr>
          <w:color w:val="000000" w:themeColor="text1"/>
          <w:sz w:val="24"/>
          <w:szCs w:val="24"/>
        </w:rPr>
        <w:t>164177</w:t>
      </w:r>
      <w:r w:rsidRPr="00A214B0">
        <w:rPr>
          <w:color w:val="000000" w:themeColor="text1"/>
          <w:sz w:val="24"/>
          <w:szCs w:val="24"/>
        </w:rPr>
        <w:t>亿元，增长</w:t>
      </w:r>
      <w:r w:rsidRPr="00A214B0">
        <w:rPr>
          <w:color w:val="000000" w:themeColor="text1"/>
          <w:sz w:val="24"/>
          <w:szCs w:val="24"/>
        </w:rPr>
        <w:t>7.1%</w:t>
      </w:r>
      <w:r w:rsidRPr="00A214B0">
        <w:rPr>
          <w:color w:val="000000" w:themeColor="text1"/>
          <w:sz w:val="24"/>
          <w:szCs w:val="24"/>
        </w:rPr>
        <w:t>；进口</w:t>
      </w:r>
      <w:r w:rsidRPr="00A214B0">
        <w:rPr>
          <w:color w:val="000000" w:themeColor="text1"/>
          <w:sz w:val="24"/>
          <w:szCs w:val="24"/>
        </w:rPr>
        <w:t>140874</w:t>
      </w:r>
      <w:r w:rsidRPr="00A214B0">
        <w:rPr>
          <w:color w:val="000000" w:themeColor="text1"/>
          <w:sz w:val="24"/>
          <w:szCs w:val="24"/>
        </w:rPr>
        <w:t>亿元，增长</w:t>
      </w:r>
      <w:r w:rsidRPr="00A214B0">
        <w:rPr>
          <w:color w:val="000000" w:themeColor="text1"/>
          <w:sz w:val="24"/>
          <w:szCs w:val="24"/>
        </w:rPr>
        <w:t>12.9%</w:t>
      </w:r>
      <w:r w:rsidRPr="00A214B0">
        <w:rPr>
          <w:color w:val="000000" w:themeColor="text1"/>
          <w:sz w:val="24"/>
          <w:szCs w:val="24"/>
        </w:rPr>
        <w:t>，进口对数据总体贡献较多，中美贸易争端问题尽管是对情绪造成一定困扰，对</w:t>
      </w:r>
      <w:r w:rsidRPr="00A214B0">
        <w:rPr>
          <w:color w:val="000000" w:themeColor="text1"/>
          <w:sz w:val="24"/>
          <w:szCs w:val="24"/>
        </w:rPr>
        <w:t>2018</w:t>
      </w:r>
      <w:r w:rsidRPr="00A214B0">
        <w:rPr>
          <w:color w:val="000000" w:themeColor="text1"/>
          <w:sz w:val="24"/>
          <w:szCs w:val="24"/>
        </w:rPr>
        <w:t>年出口市场产生一定影响。</w:t>
      </w:r>
    </w:p>
    <w:p w:rsidR="00D56508" w:rsidRPr="00A214B0" w:rsidRDefault="00F1265B">
      <w:pPr>
        <w:pStyle w:val="aa"/>
        <w:adjustRightInd w:val="0"/>
        <w:snapToGrid w:val="0"/>
        <w:spacing w:line="360" w:lineRule="auto"/>
        <w:ind w:firstLineChars="200" w:firstLine="600"/>
        <w:rPr>
          <w:color w:val="000000" w:themeColor="text1"/>
          <w:sz w:val="24"/>
          <w:szCs w:val="24"/>
        </w:rPr>
      </w:pPr>
      <w:r w:rsidRPr="00A214B0">
        <w:rPr>
          <w:noProof/>
          <w:color w:val="000000" w:themeColor="text1"/>
        </w:rPr>
        <w:drawing>
          <wp:inline distT="0" distB="0" distL="0" distR="0" wp14:anchorId="55667288" wp14:editId="5644AAA4">
            <wp:extent cx="4726305" cy="2903220"/>
            <wp:effectExtent l="0" t="0" r="17145" b="11430"/>
            <wp:docPr id="9" name="图片 9" descr="http://5b0988e595225.cdn.sohucs.com/images/20190208/8ede23e20cd043adbc4b0e4856d610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5b0988e595225.cdn.sohucs.com/images/20190208/8ede23e20cd043adbc4b0e4856d610f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26305" cy="2903220"/>
                    </a:xfrm>
                    <a:prstGeom prst="rect">
                      <a:avLst/>
                    </a:prstGeom>
                    <a:noFill/>
                    <a:ln>
                      <a:noFill/>
                    </a:ln>
                  </pic:spPr>
                </pic:pic>
              </a:graphicData>
            </a:graphic>
          </wp:inline>
        </w:drawing>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从国际市场来看，全球经济基本处于良好状态，消费者和商业信心指数等经济指标表现强劲，即使出现针锋相对的贸易战也不大可能使全球经济发生逆转。虽然许多国家已经经历了一轮较长的经济增长，但全球经济还将继续保持增长，短期内世界经济衰退风险较低，全球经济向好态势至少可以维持半年。不过，目前全球贸易存在的不确定性可能导致全球经济减速，如果当前贸易谈判失控导致关税和配额上升，或将引发工商业减少投资或停止招聘新员工，从而对全球经济产生消极影响。</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（二）行业分析</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t>
      </w:r>
      <w:r w:rsidRPr="00A214B0">
        <w:rPr>
          <w:color w:val="000000" w:themeColor="text1"/>
          <w:sz w:val="24"/>
          <w:szCs w:val="24"/>
        </w:rPr>
        <w:t>1</w:t>
      </w:r>
      <w:r w:rsidRPr="00A214B0">
        <w:rPr>
          <w:color w:val="000000" w:themeColor="text1"/>
          <w:sz w:val="24"/>
          <w:szCs w:val="24"/>
        </w:rPr>
        <w:t>）海企仓储所在行业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海企仓储属于化工仓储物流行业，是化工园区建设与发展的重要组成部分，也是体现和影响我国特种物流业发展的重要标志，它的发展越来越引起业界的高度重视与关注。</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t>
      </w:r>
      <w:r w:rsidRPr="00A214B0">
        <w:rPr>
          <w:color w:val="000000" w:themeColor="text1"/>
          <w:sz w:val="24"/>
          <w:szCs w:val="24"/>
        </w:rPr>
        <w:t>2</w:t>
      </w:r>
      <w:r w:rsidRPr="00A214B0">
        <w:rPr>
          <w:color w:val="000000" w:themeColor="text1"/>
          <w:sz w:val="24"/>
          <w:szCs w:val="24"/>
        </w:rPr>
        <w:t>）化工仓储物流行业概况</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我国的化工园区多是以化工产业为主体的企业集聚群，作为服务型的仓储物流企业，其含量约在</w:t>
      </w:r>
      <w:r w:rsidRPr="00A214B0">
        <w:rPr>
          <w:color w:val="000000" w:themeColor="text1"/>
          <w:sz w:val="24"/>
          <w:szCs w:val="24"/>
        </w:rPr>
        <w:t>10-15%</w:t>
      </w:r>
      <w:r w:rsidRPr="00A214B0">
        <w:rPr>
          <w:color w:val="000000" w:themeColor="text1"/>
          <w:sz w:val="24"/>
          <w:szCs w:val="24"/>
        </w:rPr>
        <w:t>左右，不同的化工园区其仓储物流企业的含量也不尽相同，其配置主要依据园区的物流需求而定。总体来看，这种按需配置之举比较合理，供需基本趋于平衡，这种现象与我国危险品仓库严重短缺有较大差异。化工园区的仓储物流企业之所以能够得到合理配置，其主要原因有三：一是园区在开发建设初期就树立了</w:t>
      </w:r>
      <w:r w:rsidRPr="00A214B0">
        <w:rPr>
          <w:color w:val="000000" w:themeColor="text1"/>
          <w:sz w:val="24"/>
          <w:szCs w:val="24"/>
        </w:rPr>
        <w:t>“</w:t>
      </w:r>
      <w:r w:rsidRPr="00A214B0">
        <w:rPr>
          <w:color w:val="000000" w:themeColor="text1"/>
          <w:sz w:val="24"/>
          <w:szCs w:val="24"/>
        </w:rPr>
        <w:t>物流设施一体化</w:t>
      </w:r>
      <w:r w:rsidRPr="00A214B0">
        <w:rPr>
          <w:color w:val="000000" w:themeColor="text1"/>
          <w:sz w:val="24"/>
          <w:szCs w:val="24"/>
        </w:rPr>
        <w:t>”</w:t>
      </w:r>
      <w:r w:rsidRPr="00A214B0">
        <w:rPr>
          <w:color w:val="000000" w:themeColor="text1"/>
          <w:sz w:val="24"/>
          <w:szCs w:val="24"/>
        </w:rPr>
        <w:t>的建设理念，把园区物流业发展列入规划，摆上议程，注重引进。二是园区化工产业高度聚集，为第三方仓储物流企业的发展提供了稳定而充实的客户和货源。三是园区在用地、建设、审批、纳税、服务等方面为仓储物流企业提供了宽松的开业条件，对企业入驻具有一定的吸引力。根据中物联危化品物流分会</w:t>
      </w:r>
      <w:r w:rsidRPr="00A214B0">
        <w:rPr>
          <w:color w:val="000000" w:themeColor="text1"/>
          <w:sz w:val="24"/>
          <w:szCs w:val="24"/>
        </w:rPr>
        <w:t>2017-2018</w:t>
      </w:r>
      <w:r w:rsidRPr="00A214B0">
        <w:rPr>
          <w:color w:val="000000" w:themeColor="text1"/>
          <w:sz w:val="24"/>
          <w:szCs w:val="24"/>
        </w:rPr>
        <w:t>年度中国化工物流行业百强名单，按照各个领域的指标特色进行了分类，包括道路运输、综合，水运和仓储几个方面，根据化工百强评选的数据来看，实际上行业分散非常明显，行业整体的规模非常小，百强企业总体营业额是</w:t>
      </w:r>
      <w:r w:rsidRPr="00A214B0">
        <w:rPr>
          <w:color w:val="000000" w:themeColor="text1"/>
          <w:sz w:val="24"/>
          <w:szCs w:val="24"/>
        </w:rPr>
        <w:t>538</w:t>
      </w:r>
      <w:r w:rsidRPr="00A214B0">
        <w:rPr>
          <w:color w:val="000000" w:themeColor="text1"/>
          <w:sz w:val="24"/>
          <w:szCs w:val="24"/>
        </w:rPr>
        <w:t>亿，平均下来每家企业也就是</w:t>
      </w:r>
      <w:r w:rsidRPr="00A214B0">
        <w:rPr>
          <w:color w:val="000000" w:themeColor="text1"/>
          <w:sz w:val="24"/>
          <w:szCs w:val="24"/>
        </w:rPr>
        <w:t>5</w:t>
      </w:r>
      <w:r w:rsidRPr="00A214B0">
        <w:rPr>
          <w:color w:val="000000" w:themeColor="text1"/>
          <w:sz w:val="24"/>
          <w:szCs w:val="24"/>
        </w:rPr>
        <w:t>亿多，包括大的央企做了数据支撑。</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我国化工园区仓储物流企业的类型</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①</w:t>
      </w:r>
      <w:r w:rsidRPr="00A214B0">
        <w:rPr>
          <w:color w:val="000000" w:themeColor="text1"/>
          <w:sz w:val="24"/>
          <w:szCs w:val="24"/>
        </w:rPr>
        <w:t>我国化工园区仓储物流企业的类型从管理体制上可划分为生产制造商自有仓库、经营商自有仓库和第三方公共仓储物流三种类型。其中生产制造商自有仓库约占总量的</w:t>
      </w:r>
      <w:r w:rsidRPr="00A214B0">
        <w:rPr>
          <w:color w:val="000000" w:themeColor="text1"/>
          <w:sz w:val="24"/>
          <w:szCs w:val="24"/>
        </w:rPr>
        <w:t>40%</w:t>
      </w:r>
      <w:r w:rsidRPr="00A214B0">
        <w:rPr>
          <w:color w:val="000000" w:themeColor="text1"/>
          <w:sz w:val="24"/>
          <w:szCs w:val="24"/>
        </w:rPr>
        <w:t>左右，这个类型的仓库通常规模不大，以自用为主，也有少数自用有余的仓位对外出租。有些大型生产制造商的仓库也很具规模，如：南京化工园区的扬子</w:t>
      </w:r>
      <w:r w:rsidRPr="00A214B0">
        <w:rPr>
          <w:color w:val="000000" w:themeColor="text1"/>
          <w:sz w:val="24"/>
          <w:szCs w:val="24"/>
        </w:rPr>
        <w:t>-</w:t>
      </w:r>
      <w:r w:rsidRPr="00A214B0">
        <w:rPr>
          <w:color w:val="000000" w:themeColor="text1"/>
          <w:sz w:val="24"/>
          <w:szCs w:val="24"/>
        </w:rPr>
        <w:t>巴斯夫，泰兴经济化工园区的锦华化工，宁波镇海化工园区的镇海炼化等企业自有储罐容积都在</w:t>
      </w:r>
      <w:r w:rsidRPr="00A214B0">
        <w:rPr>
          <w:color w:val="000000" w:themeColor="text1"/>
          <w:sz w:val="24"/>
          <w:szCs w:val="24"/>
        </w:rPr>
        <w:t>10</w:t>
      </w:r>
      <w:r w:rsidRPr="00A214B0">
        <w:rPr>
          <w:color w:val="000000" w:themeColor="text1"/>
          <w:sz w:val="24"/>
          <w:szCs w:val="24"/>
        </w:rPr>
        <w:t>万立方米以上；第三方公共仓储物流约占总量的</w:t>
      </w:r>
      <w:r w:rsidRPr="00A214B0">
        <w:rPr>
          <w:color w:val="000000" w:themeColor="text1"/>
          <w:sz w:val="24"/>
          <w:szCs w:val="24"/>
        </w:rPr>
        <w:t>55%</w:t>
      </w:r>
      <w:r w:rsidRPr="00A214B0">
        <w:rPr>
          <w:color w:val="000000" w:themeColor="text1"/>
          <w:sz w:val="24"/>
          <w:szCs w:val="24"/>
        </w:rPr>
        <w:t>以上，他们的主要服务对象是园区生产制造商和经营商，这个类型的仓库虽然在化工园区占了大头，但数量仍显不足，从发展趋势看，它势必要逐步取代另外两个类型，只是发展条件不够成熟，发展速度缓慢，这也是我国仓储物流业亟待解决的问题；经营商自有仓库比较少，占有量不足</w:t>
      </w:r>
      <w:r w:rsidRPr="00A214B0">
        <w:rPr>
          <w:color w:val="000000" w:themeColor="text1"/>
          <w:sz w:val="24"/>
          <w:szCs w:val="24"/>
        </w:rPr>
        <w:t>5%</w:t>
      </w:r>
      <w:r w:rsidRPr="00A214B0">
        <w:rPr>
          <w:color w:val="000000" w:themeColor="text1"/>
          <w:sz w:val="24"/>
          <w:szCs w:val="24"/>
        </w:rPr>
        <w:t>，多为园区交易中心（市场）入驻商的专用仓库。</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②</w:t>
      </w:r>
      <w:r w:rsidRPr="00A214B0">
        <w:rPr>
          <w:color w:val="000000" w:themeColor="text1"/>
          <w:sz w:val="24"/>
          <w:szCs w:val="24"/>
        </w:rPr>
        <w:t>我国化工园区仓储物流企业的类型从资产所有划分，主要有国有企业，民营企业和外企（包括合资企业）三种类型。从数量上看，国企并不多，约占总数的</w:t>
      </w:r>
      <w:r w:rsidRPr="00A214B0">
        <w:rPr>
          <w:color w:val="000000" w:themeColor="text1"/>
          <w:sz w:val="24"/>
          <w:szCs w:val="24"/>
        </w:rPr>
        <w:t>10%</w:t>
      </w:r>
      <w:r w:rsidRPr="00A214B0">
        <w:rPr>
          <w:color w:val="000000" w:themeColor="text1"/>
          <w:sz w:val="24"/>
          <w:szCs w:val="24"/>
        </w:rPr>
        <w:t>左右，但规模都比较大，仓储物流能力都非常强，比如：南京化工园区的中化集团，宁波镇海化工园区的镇海炼化，泰兴精细化工园区的苏中沿江物流中心等，仓储资源都很雄厚；园区的民营仓储物流企业约占总数的</w:t>
      </w:r>
      <w:r w:rsidRPr="00A214B0">
        <w:rPr>
          <w:color w:val="000000" w:themeColor="text1"/>
          <w:sz w:val="24"/>
          <w:szCs w:val="24"/>
        </w:rPr>
        <w:t>40%</w:t>
      </w:r>
      <w:r w:rsidRPr="00A214B0">
        <w:rPr>
          <w:color w:val="000000" w:themeColor="text1"/>
          <w:sz w:val="24"/>
          <w:szCs w:val="24"/>
        </w:rPr>
        <w:t>左右，其数量较多，但规模不大，为园区物流业发展起到重要作用，绝对不可或缺，比如：宁波化工园区的宁兴液化，南京化工园区的香江泰森，连云港千红石化，泰兴精细化工园区的金达化工等均在园区站稳脚跟，并不断发展壮大；外企和合资企业占据了我国化工园区仓储物流业的半壁河山，拥有量在</w:t>
      </w:r>
      <w:r w:rsidRPr="00A214B0">
        <w:rPr>
          <w:color w:val="000000" w:themeColor="text1"/>
          <w:sz w:val="24"/>
          <w:szCs w:val="24"/>
        </w:rPr>
        <w:t>50%</w:t>
      </w:r>
      <w:r w:rsidRPr="00A214B0">
        <w:rPr>
          <w:color w:val="000000" w:themeColor="text1"/>
          <w:sz w:val="24"/>
          <w:szCs w:val="24"/>
        </w:rPr>
        <w:t>以上，这个类型的企业不但数量多，而且规模大，现代化水平较高，比如南京化工园区的欧德油储，，泰兴精细化工园区的联诚仓储，上海曹泾化工园区的孚宝，上海临港化工园区的日陆等都具有很强的竞争实力，有很好的发展前景。</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③</w:t>
      </w:r>
      <w:r w:rsidRPr="00A214B0">
        <w:rPr>
          <w:color w:val="000000" w:themeColor="text1"/>
          <w:sz w:val="24"/>
          <w:szCs w:val="24"/>
        </w:rPr>
        <w:t>我国化工园区仓储物流企业的类型从经营模式上划分有三种类型：以仓储为主的占</w:t>
      </w:r>
      <w:r w:rsidRPr="00A214B0">
        <w:rPr>
          <w:color w:val="000000" w:themeColor="text1"/>
          <w:sz w:val="24"/>
          <w:szCs w:val="24"/>
        </w:rPr>
        <w:t>60%</w:t>
      </w:r>
      <w:r w:rsidRPr="00A214B0">
        <w:rPr>
          <w:color w:val="000000" w:themeColor="text1"/>
          <w:sz w:val="24"/>
          <w:szCs w:val="24"/>
        </w:rPr>
        <w:t>左右，以运输为主的占</w:t>
      </w:r>
      <w:r w:rsidRPr="00A214B0">
        <w:rPr>
          <w:color w:val="000000" w:themeColor="text1"/>
          <w:sz w:val="24"/>
          <w:szCs w:val="24"/>
        </w:rPr>
        <w:t>20%</w:t>
      </w:r>
      <w:r w:rsidRPr="00A214B0">
        <w:rPr>
          <w:color w:val="000000" w:themeColor="text1"/>
          <w:sz w:val="24"/>
          <w:szCs w:val="24"/>
        </w:rPr>
        <w:t>左右，以港口码头为主的占</w:t>
      </w:r>
      <w:r w:rsidRPr="00A214B0">
        <w:rPr>
          <w:color w:val="000000" w:themeColor="text1"/>
          <w:sz w:val="24"/>
          <w:szCs w:val="24"/>
        </w:rPr>
        <w:t>20%</w:t>
      </w:r>
      <w:r w:rsidRPr="00A214B0">
        <w:rPr>
          <w:color w:val="000000" w:themeColor="text1"/>
          <w:sz w:val="24"/>
          <w:szCs w:val="24"/>
        </w:rPr>
        <w:t>左右。不乏也有不少物流企业实行多功能服务，比如：南京化工园区联合全程物流中心，兼营仓储、运输、加工、配送等多种业务，绩效非常突出。</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t>
      </w:r>
      <w:r w:rsidRPr="00A214B0">
        <w:rPr>
          <w:color w:val="000000" w:themeColor="text1"/>
          <w:sz w:val="24"/>
          <w:szCs w:val="24"/>
        </w:rPr>
        <w:t>3</w:t>
      </w:r>
      <w:r w:rsidRPr="00A214B0">
        <w:rPr>
          <w:color w:val="000000" w:themeColor="text1"/>
          <w:sz w:val="24"/>
          <w:szCs w:val="24"/>
        </w:rPr>
        <w:t>）行业的周期性和区域性</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1</w:t>
      </w:r>
      <w:r w:rsidRPr="00A214B0">
        <w:rPr>
          <w:color w:val="000000" w:themeColor="text1"/>
          <w:sz w:val="24"/>
          <w:szCs w:val="24"/>
        </w:rPr>
        <w:t>、周期性</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化工仓储行业的上游行业是化学工业品制造行业，下游行业对应的终端产品包括汽车、建材、服装、染料、橡胶助剂和</w:t>
      </w:r>
      <w:r w:rsidRPr="00A214B0">
        <w:rPr>
          <w:color w:val="000000" w:themeColor="text1"/>
          <w:sz w:val="24"/>
          <w:szCs w:val="24"/>
        </w:rPr>
        <w:t xml:space="preserve"> </w:t>
      </w:r>
      <w:r w:rsidRPr="00A214B0">
        <w:rPr>
          <w:color w:val="000000" w:themeColor="text1"/>
          <w:sz w:val="24"/>
          <w:szCs w:val="24"/>
        </w:rPr>
        <w:t>医药等，覆盖国民经济的众多领域，与国内宏观经济形势息息相关。因此，化工仓储行业具有一定的周期性。</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2</w:t>
      </w:r>
      <w:r w:rsidRPr="00A214B0">
        <w:rPr>
          <w:color w:val="000000" w:themeColor="text1"/>
          <w:sz w:val="24"/>
          <w:szCs w:val="24"/>
        </w:rPr>
        <w:t>、区域性。</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受到经济发展不平衡的影响，化工物流行业发展呈现区域性差异。目前，区域物流主要集中在长江经济带、京津冀地区、丝绸之路经济带和</w:t>
      </w:r>
      <w:r w:rsidRPr="00A214B0">
        <w:rPr>
          <w:color w:val="000000" w:themeColor="text1"/>
          <w:sz w:val="24"/>
          <w:szCs w:val="24"/>
        </w:rPr>
        <w:t xml:space="preserve"> 21 </w:t>
      </w:r>
      <w:r w:rsidRPr="00A214B0">
        <w:rPr>
          <w:color w:val="000000" w:themeColor="text1"/>
          <w:sz w:val="24"/>
          <w:szCs w:val="24"/>
        </w:rPr>
        <w:t>世纪海上丝绸之路。此外，</w:t>
      </w:r>
      <w:r w:rsidRPr="00A214B0">
        <w:rPr>
          <w:color w:val="000000" w:themeColor="text1"/>
          <w:sz w:val="24"/>
          <w:szCs w:val="24"/>
        </w:rPr>
        <w:t>“</w:t>
      </w:r>
      <w:r w:rsidRPr="00A214B0">
        <w:rPr>
          <w:color w:val="000000" w:themeColor="text1"/>
          <w:sz w:val="24"/>
          <w:szCs w:val="24"/>
        </w:rPr>
        <w:t>一带一路</w:t>
      </w:r>
      <w:r w:rsidRPr="00A214B0">
        <w:rPr>
          <w:color w:val="000000" w:themeColor="text1"/>
          <w:sz w:val="24"/>
          <w:szCs w:val="24"/>
        </w:rPr>
        <w:t>”</w:t>
      </w:r>
      <w:r w:rsidRPr="00A214B0">
        <w:rPr>
          <w:color w:val="000000" w:themeColor="text1"/>
          <w:sz w:val="24"/>
          <w:szCs w:val="24"/>
        </w:rPr>
        <w:t>主要涉及陕西、甘肃、青海、宁夏、新疆、重庆、四川、云南、广西等</w:t>
      </w:r>
      <w:r w:rsidRPr="00A214B0">
        <w:rPr>
          <w:color w:val="000000" w:themeColor="text1"/>
          <w:sz w:val="24"/>
          <w:szCs w:val="24"/>
        </w:rPr>
        <w:t xml:space="preserve"> 9 </w:t>
      </w:r>
      <w:r w:rsidRPr="00A214B0">
        <w:rPr>
          <w:color w:val="000000" w:themeColor="text1"/>
          <w:sz w:val="24"/>
          <w:szCs w:val="24"/>
        </w:rPr>
        <w:t>个西部地区，将率先影响西北经济区和西南经济区的交通运输业的发展。长江经济带建设交通走廊，启动检验检疫一体化、启动港口区域合作、建立长三角集装箱物流配载网等。</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t>
      </w:r>
      <w:r w:rsidRPr="00A214B0">
        <w:rPr>
          <w:color w:val="000000" w:themeColor="text1"/>
          <w:sz w:val="24"/>
          <w:szCs w:val="24"/>
        </w:rPr>
        <w:t>4</w:t>
      </w:r>
      <w:r w:rsidRPr="00A214B0">
        <w:rPr>
          <w:color w:val="000000" w:themeColor="text1"/>
          <w:sz w:val="24"/>
          <w:szCs w:val="24"/>
        </w:rPr>
        <w:t>）化工仓储行业目前容量和发展趋势</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2018</w:t>
      </w:r>
      <w:r w:rsidRPr="00A214B0">
        <w:rPr>
          <w:color w:val="000000" w:themeColor="text1"/>
          <w:sz w:val="24"/>
          <w:szCs w:val="24"/>
        </w:rPr>
        <w:t>年底，中物联危化品物流分会预计整个化工物流市场规模是</w:t>
      </w:r>
      <w:r w:rsidRPr="00A214B0">
        <w:rPr>
          <w:color w:val="000000" w:themeColor="text1"/>
          <w:sz w:val="24"/>
          <w:szCs w:val="24"/>
        </w:rPr>
        <w:t>1.4</w:t>
      </w:r>
      <w:r w:rsidRPr="00A214B0">
        <w:rPr>
          <w:color w:val="000000" w:themeColor="text1"/>
          <w:sz w:val="24"/>
          <w:szCs w:val="24"/>
        </w:rPr>
        <w:t>万亿，在这个过程中我国化工物流道路运输大概能完成</w:t>
      </w:r>
      <w:r w:rsidRPr="00A214B0">
        <w:rPr>
          <w:color w:val="000000" w:themeColor="text1"/>
          <w:sz w:val="24"/>
          <w:szCs w:val="24"/>
        </w:rPr>
        <w:t>12</w:t>
      </w:r>
      <w:r w:rsidRPr="00A214B0">
        <w:rPr>
          <w:color w:val="000000" w:themeColor="text1"/>
          <w:sz w:val="24"/>
          <w:szCs w:val="24"/>
        </w:rPr>
        <w:t>亿吨的运输量，水运大概是</w:t>
      </w:r>
      <w:r w:rsidRPr="00A214B0">
        <w:rPr>
          <w:color w:val="000000" w:themeColor="text1"/>
          <w:sz w:val="24"/>
          <w:szCs w:val="24"/>
        </w:rPr>
        <w:t>3</w:t>
      </w:r>
      <w:r w:rsidRPr="00A214B0">
        <w:rPr>
          <w:color w:val="000000" w:themeColor="text1"/>
          <w:sz w:val="24"/>
          <w:szCs w:val="24"/>
        </w:rPr>
        <w:t>亿吨以上，铁路比去年有增长，大概</w:t>
      </w:r>
      <w:r w:rsidRPr="00A214B0">
        <w:rPr>
          <w:color w:val="000000" w:themeColor="text1"/>
          <w:sz w:val="24"/>
          <w:szCs w:val="24"/>
        </w:rPr>
        <w:t>1.26</w:t>
      </w:r>
      <w:r w:rsidRPr="00A214B0">
        <w:rPr>
          <w:color w:val="000000" w:themeColor="text1"/>
          <w:sz w:val="24"/>
          <w:szCs w:val="24"/>
        </w:rPr>
        <w:t>亿吨。随着发展，下一步的道路运输会受到一定的冲击，铁路和水运方面会进一步增强。</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目前我国已建成的国家级、省级大型化工园区达</w:t>
      </w:r>
      <w:r w:rsidRPr="00A214B0">
        <w:rPr>
          <w:color w:val="000000" w:themeColor="text1"/>
          <w:sz w:val="24"/>
          <w:szCs w:val="24"/>
        </w:rPr>
        <w:t xml:space="preserve"> 200 </w:t>
      </w:r>
      <w:r w:rsidRPr="00A214B0">
        <w:rPr>
          <w:color w:val="000000" w:themeColor="text1"/>
          <w:sz w:val="24"/>
          <w:szCs w:val="24"/>
        </w:rPr>
        <w:t>多个。化工物流虽然近年来发展迅速，仓储建设不断增加，但是资质健全、提供规范服务的综合物流服务商数量和物流设施总量供给依旧不能满足于行业发展的需要。</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根据前瞻产业研究院不完全统计，</w:t>
      </w:r>
      <w:r w:rsidRPr="00A214B0">
        <w:rPr>
          <w:color w:val="000000" w:themeColor="text1"/>
          <w:sz w:val="24"/>
          <w:szCs w:val="24"/>
        </w:rPr>
        <w:t>2017-2018</w:t>
      </w:r>
      <w:r w:rsidRPr="00A214B0">
        <w:rPr>
          <w:color w:val="000000" w:themeColor="text1"/>
          <w:sz w:val="24"/>
          <w:szCs w:val="24"/>
        </w:rPr>
        <w:t>年度中国化工物流行业百强企业中，恒阳物流和宏川智慧储罐容量超过</w:t>
      </w:r>
      <w:r w:rsidRPr="00A214B0">
        <w:rPr>
          <w:color w:val="000000" w:themeColor="text1"/>
          <w:sz w:val="24"/>
          <w:szCs w:val="24"/>
        </w:rPr>
        <w:t>100</w:t>
      </w:r>
      <w:r w:rsidRPr="00A214B0">
        <w:rPr>
          <w:color w:val="000000" w:themeColor="text1"/>
          <w:sz w:val="24"/>
          <w:szCs w:val="24"/>
        </w:rPr>
        <w:t>万立方米，华润化工、太平洋化工、张家港保税区长江国际港务等化工物流企业储罐容量超过</w:t>
      </w:r>
      <w:r w:rsidRPr="00A214B0">
        <w:rPr>
          <w:color w:val="000000" w:themeColor="text1"/>
          <w:sz w:val="24"/>
          <w:szCs w:val="24"/>
        </w:rPr>
        <w:t>90</w:t>
      </w:r>
      <w:r w:rsidRPr="00A214B0">
        <w:rPr>
          <w:color w:val="000000" w:themeColor="text1"/>
          <w:sz w:val="24"/>
          <w:szCs w:val="24"/>
        </w:rPr>
        <w:t>万立方米。化工物流行业是现代物流产业的重要细分领域之一，其发展与化工行业紧密相关。根据工信部发布的《石化和化学工业发展规划（</w:t>
      </w:r>
      <w:r w:rsidRPr="00A214B0">
        <w:rPr>
          <w:color w:val="000000" w:themeColor="text1"/>
          <w:sz w:val="24"/>
          <w:szCs w:val="24"/>
        </w:rPr>
        <w:t>2016-2020</w:t>
      </w:r>
      <w:r w:rsidRPr="00A214B0">
        <w:rPr>
          <w:color w:val="000000" w:themeColor="text1"/>
          <w:sz w:val="24"/>
          <w:szCs w:val="24"/>
        </w:rPr>
        <w:t>年）》：</w:t>
      </w:r>
      <w:r w:rsidRPr="00A214B0">
        <w:rPr>
          <w:color w:val="000000" w:themeColor="text1"/>
          <w:sz w:val="24"/>
          <w:szCs w:val="24"/>
        </w:rPr>
        <w:t>“</w:t>
      </w:r>
      <w:r w:rsidRPr="00A214B0">
        <w:rPr>
          <w:color w:val="000000" w:themeColor="text1"/>
          <w:sz w:val="24"/>
          <w:szCs w:val="24"/>
        </w:rPr>
        <w:t>十三五</w:t>
      </w:r>
      <w:r w:rsidRPr="00A214B0">
        <w:rPr>
          <w:color w:val="000000" w:themeColor="text1"/>
          <w:sz w:val="24"/>
          <w:szCs w:val="24"/>
        </w:rPr>
        <w:t>”</w:t>
      </w:r>
      <w:r w:rsidRPr="00A214B0">
        <w:rPr>
          <w:color w:val="000000" w:themeColor="text1"/>
          <w:sz w:val="24"/>
          <w:szCs w:val="24"/>
        </w:rPr>
        <w:t>期间，在稳步推进新型城镇化和消费升级等因素的拉动下，石化化工产品市场需求仍将保持较快增长。</w:t>
      </w:r>
      <w:r w:rsidRPr="00A214B0">
        <w:rPr>
          <w:color w:val="000000" w:themeColor="text1"/>
          <w:sz w:val="24"/>
          <w:szCs w:val="24"/>
        </w:rPr>
        <w:t>2015</w:t>
      </w:r>
      <w:r w:rsidRPr="00A214B0">
        <w:rPr>
          <w:color w:val="000000" w:themeColor="text1"/>
          <w:sz w:val="24"/>
          <w:szCs w:val="24"/>
        </w:rPr>
        <w:t>年我国城镇化率约为</w:t>
      </w:r>
      <w:r w:rsidRPr="00A214B0">
        <w:rPr>
          <w:color w:val="000000" w:themeColor="text1"/>
          <w:sz w:val="24"/>
          <w:szCs w:val="24"/>
        </w:rPr>
        <w:t>56%</w:t>
      </w:r>
      <w:r w:rsidRPr="00A214B0">
        <w:rPr>
          <w:color w:val="000000" w:themeColor="text1"/>
          <w:sz w:val="24"/>
          <w:szCs w:val="24"/>
        </w:rPr>
        <w:t>，预计到</w:t>
      </w:r>
      <w:r w:rsidRPr="00A214B0">
        <w:rPr>
          <w:color w:val="000000" w:themeColor="text1"/>
          <w:sz w:val="24"/>
          <w:szCs w:val="24"/>
        </w:rPr>
        <w:t>2020</w:t>
      </w:r>
      <w:r w:rsidRPr="00A214B0">
        <w:rPr>
          <w:color w:val="000000" w:themeColor="text1"/>
          <w:sz w:val="24"/>
          <w:szCs w:val="24"/>
        </w:rPr>
        <w:t>年将超过</w:t>
      </w:r>
      <w:r w:rsidRPr="00A214B0">
        <w:rPr>
          <w:color w:val="000000" w:themeColor="text1"/>
          <w:sz w:val="24"/>
          <w:szCs w:val="24"/>
        </w:rPr>
        <w:t>60%</w:t>
      </w:r>
      <w:r w:rsidRPr="00A214B0">
        <w:rPr>
          <w:color w:val="000000" w:themeColor="text1"/>
          <w:sz w:val="24"/>
          <w:szCs w:val="24"/>
        </w:rPr>
        <w:t>，超过</w:t>
      </w:r>
      <w:r w:rsidRPr="00A214B0">
        <w:rPr>
          <w:color w:val="000000" w:themeColor="text1"/>
          <w:sz w:val="24"/>
          <w:szCs w:val="24"/>
        </w:rPr>
        <w:t>5000</w:t>
      </w:r>
      <w:r w:rsidRPr="00A214B0">
        <w:rPr>
          <w:color w:val="000000" w:themeColor="text1"/>
          <w:sz w:val="24"/>
          <w:szCs w:val="24"/>
        </w:rPr>
        <w:t>万人将从农村走向城市，新型城镇化和消费升级将极大地拉动基础设施和配套建设投资，促进能源、建材、家电、食品、服装、车辆及日用品的需求增加，进而拉动石化化工产品需求持续增长。同时，</w:t>
      </w:r>
      <w:r w:rsidRPr="00A214B0">
        <w:rPr>
          <w:color w:val="000000" w:themeColor="text1"/>
          <w:sz w:val="24"/>
          <w:szCs w:val="24"/>
        </w:rPr>
        <w:t>2020</w:t>
      </w:r>
      <w:r w:rsidRPr="00A214B0">
        <w:rPr>
          <w:color w:val="000000" w:themeColor="text1"/>
          <w:sz w:val="24"/>
          <w:szCs w:val="24"/>
        </w:rPr>
        <w:t>年我国将全面建成小康社会，居民人均收入将比</w:t>
      </w:r>
      <w:r w:rsidRPr="00A214B0">
        <w:rPr>
          <w:color w:val="000000" w:themeColor="text1"/>
          <w:sz w:val="24"/>
          <w:szCs w:val="24"/>
        </w:rPr>
        <w:t>2010</w:t>
      </w:r>
      <w:r w:rsidRPr="00A214B0">
        <w:rPr>
          <w:color w:val="000000" w:themeColor="text1"/>
          <w:sz w:val="24"/>
          <w:szCs w:val="24"/>
        </w:rPr>
        <w:t>年翻一番，社会整体消费能力将增长</w:t>
      </w:r>
      <w:r w:rsidRPr="00A214B0">
        <w:rPr>
          <w:color w:val="000000" w:themeColor="text1"/>
          <w:sz w:val="24"/>
          <w:szCs w:val="24"/>
        </w:rPr>
        <w:t>120%</w:t>
      </w:r>
      <w:r w:rsidRPr="00A214B0">
        <w:rPr>
          <w:color w:val="000000" w:themeColor="text1"/>
          <w:sz w:val="24"/>
          <w:szCs w:val="24"/>
        </w:rPr>
        <w:t>以上，居民消费习惯也将从</w:t>
      </w:r>
      <w:r w:rsidRPr="00A214B0">
        <w:rPr>
          <w:color w:val="000000" w:themeColor="text1"/>
          <w:sz w:val="24"/>
          <w:szCs w:val="24"/>
        </w:rPr>
        <w:t>“</w:t>
      </w:r>
      <w:r w:rsidRPr="00A214B0">
        <w:rPr>
          <w:color w:val="000000" w:themeColor="text1"/>
          <w:sz w:val="24"/>
          <w:szCs w:val="24"/>
        </w:rPr>
        <w:t>温饱型</w:t>
      </w:r>
      <w:r w:rsidRPr="00A214B0">
        <w:rPr>
          <w:color w:val="000000" w:themeColor="text1"/>
          <w:sz w:val="24"/>
          <w:szCs w:val="24"/>
        </w:rPr>
        <w:t>”</w:t>
      </w:r>
      <w:r w:rsidRPr="00A214B0">
        <w:rPr>
          <w:color w:val="000000" w:themeColor="text1"/>
          <w:sz w:val="24"/>
          <w:szCs w:val="24"/>
        </w:rPr>
        <w:t>向</w:t>
      </w:r>
      <w:r w:rsidRPr="00A214B0">
        <w:rPr>
          <w:color w:val="000000" w:themeColor="text1"/>
          <w:sz w:val="24"/>
          <w:szCs w:val="24"/>
        </w:rPr>
        <w:t>“</w:t>
      </w:r>
      <w:r w:rsidRPr="00A214B0">
        <w:rPr>
          <w:color w:val="000000" w:themeColor="text1"/>
          <w:sz w:val="24"/>
          <w:szCs w:val="24"/>
        </w:rPr>
        <w:t>发展型</w:t>
      </w:r>
      <w:r w:rsidRPr="00A214B0">
        <w:rPr>
          <w:color w:val="000000" w:themeColor="text1"/>
          <w:sz w:val="24"/>
          <w:szCs w:val="24"/>
        </w:rPr>
        <w:t>”</w:t>
      </w:r>
      <w:r w:rsidRPr="00A214B0">
        <w:rPr>
          <w:color w:val="000000" w:themeColor="text1"/>
          <w:sz w:val="24"/>
          <w:szCs w:val="24"/>
        </w:rPr>
        <w:t>转变，对绿色、安全、高性价比的高端石化化工产品的需求增速将超过传统产业。</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（三）企业自身分析</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w:t>
      </w:r>
      <w:r w:rsidRPr="00A214B0">
        <w:rPr>
          <w:color w:val="000000" w:themeColor="text1"/>
          <w:szCs w:val="24"/>
        </w:rPr>
        <w:t>1</w:t>
      </w:r>
      <w:r w:rsidRPr="00A214B0">
        <w:rPr>
          <w:color w:val="000000" w:themeColor="text1"/>
          <w:szCs w:val="24"/>
        </w:rPr>
        <w:t>）主要业务情况</w:t>
      </w:r>
    </w:p>
    <w:p w:rsidR="00D56508" w:rsidRPr="00A214B0" w:rsidRDefault="00F1265B">
      <w:pPr>
        <w:pStyle w:val="a1"/>
        <w:adjustRightInd w:val="0"/>
        <w:snapToGrid w:val="0"/>
        <w:spacing w:line="360" w:lineRule="auto"/>
        <w:ind w:firstLineChars="200" w:firstLine="480"/>
        <w:jc w:val="left"/>
        <w:rPr>
          <w:color w:val="000000" w:themeColor="text1"/>
          <w:szCs w:val="24"/>
          <w:lang w:val="en-US"/>
        </w:rPr>
      </w:pPr>
      <w:r w:rsidRPr="00A214B0">
        <w:rPr>
          <w:color w:val="000000" w:themeColor="text1"/>
          <w:szCs w:val="24"/>
          <w:lang w:val="en-US"/>
        </w:rPr>
        <w:t>江苏海企化工仓储股份有限公司拥有</w:t>
      </w:r>
      <w:r w:rsidRPr="00A214B0">
        <w:rPr>
          <w:color w:val="000000" w:themeColor="text1"/>
          <w:szCs w:val="24"/>
          <w:lang w:val="en-US"/>
        </w:rPr>
        <w:t>436</w:t>
      </w:r>
      <w:r w:rsidRPr="00A214B0">
        <w:rPr>
          <w:color w:val="000000" w:themeColor="text1"/>
          <w:szCs w:val="24"/>
          <w:lang w:val="en-US"/>
        </w:rPr>
        <w:t>米长江港口岸线，</w:t>
      </w:r>
      <w:r w:rsidRPr="00A214B0">
        <w:rPr>
          <w:color w:val="000000" w:themeColor="text1"/>
          <w:szCs w:val="24"/>
          <w:lang w:val="en-US"/>
        </w:rPr>
        <w:t>4</w:t>
      </w:r>
      <w:r w:rsidRPr="00A214B0">
        <w:rPr>
          <w:color w:val="000000" w:themeColor="text1"/>
          <w:szCs w:val="24"/>
          <w:lang w:val="en-US"/>
        </w:rPr>
        <w:t>万吨级、</w:t>
      </w:r>
      <w:r w:rsidRPr="00A214B0">
        <w:rPr>
          <w:color w:val="000000" w:themeColor="text1"/>
          <w:szCs w:val="24"/>
          <w:lang w:val="en-US"/>
        </w:rPr>
        <w:t>2</w:t>
      </w:r>
      <w:r w:rsidRPr="00A214B0">
        <w:rPr>
          <w:color w:val="000000" w:themeColor="text1"/>
          <w:szCs w:val="24"/>
          <w:lang w:val="en-US"/>
        </w:rPr>
        <w:t>万吨级（水工结构兼顾</w:t>
      </w:r>
      <w:r w:rsidRPr="00A214B0">
        <w:rPr>
          <w:color w:val="000000" w:themeColor="text1"/>
          <w:szCs w:val="24"/>
          <w:lang w:val="en-US"/>
        </w:rPr>
        <w:t>4</w:t>
      </w:r>
      <w:r w:rsidRPr="00A214B0">
        <w:rPr>
          <w:color w:val="000000" w:themeColor="text1"/>
          <w:szCs w:val="24"/>
          <w:lang w:val="en-US"/>
        </w:rPr>
        <w:t>万吨级）液体化工泊位各</w:t>
      </w:r>
      <w:r w:rsidRPr="00A214B0">
        <w:rPr>
          <w:color w:val="000000" w:themeColor="text1"/>
          <w:szCs w:val="24"/>
          <w:lang w:val="en-US"/>
        </w:rPr>
        <w:t>1</w:t>
      </w:r>
      <w:r w:rsidRPr="00A214B0">
        <w:rPr>
          <w:color w:val="000000" w:themeColor="text1"/>
          <w:szCs w:val="24"/>
          <w:lang w:val="en-US"/>
        </w:rPr>
        <w:t>个，内档</w:t>
      </w:r>
      <w:r w:rsidRPr="00A214B0">
        <w:rPr>
          <w:color w:val="000000" w:themeColor="text1"/>
          <w:szCs w:val="24"/>
          <w:lang w:val="en-US"/>
        </w:rPr>
        <w:t>500</w:t>
      </w:r>
      <w:r w:rsidRPr="00A214B0">
        <w:rPr>
          <w:color w:val="000000" w:themeColor="text1"/>
          <w:szCs w:val="24"/>
          <w:lang w:val="en-US"/>
        </w:rPr>
        <w:t>吨级泊位</w:t>
      </w:r>
      <w:r w:rsidRPr="00A214B0">
        <w:rPr>
          <w:color w:val="000000" w:themeColor="text1"/>
          <w:szCs w:val="24"/>
          <w:lang w:val="en-US"/>
        </w:rPr>
        <w:t>3</w:t>
      </w:r>
      <w:r w:rsidRPr="00A214B0">
        <w:rPr>
          <w:color w:val="000000" w:themeColor="text1"/>
          <w:szCs w:val="24"/>
          <w:lang w:val="en-US"/>
        </w:rPr>
        <w:t>个，有利于化工产品从水路到陆地的转运。目前，海企仓储已经建成</w:t>
      </w:r>
      <w:r w:rsidRPr="00A214B0">
        <w:rPr>
          <w:color w:val="000000" w:themeColor="text1"/>
          <w:szCs w:val="24"/>
          <w:lang w:val="en-US"/>
        </w:rPr>
        <w:t>70</w:t>
      </w:r>
      <w:r w:rsidRPr="00A214B0">
        <w:rPr>
          <w:color w:val="000000" w:themeColor="text1"/>
          <w:szCs w:val="24"/>
          <w:lang w:val="en-US"/>
        </w:rPr>
        <w:t>个储罐，不锈钢储罐</w:t>
      </w:r>
      <w:r w:rsidRPr="00A214B0">
        <w:rPr>
          <w:color w:val="000000" w:themeColor="text1"/>
          <w:szCs w:val="24"/>
          <w:lang w:val="en-US"/>
        </w:rPr>
        <w:t>20</w:t>
      </w:r>
      <w:r w:rsidRPr="00A214B0">
        <w:rPr>
          <w:color w:val="000000" w:themeColor="text1"/>
          <w:szCs w:val="24"/>
          <w:lang w:val="en-US"/>
        </w:rPr>
        <w:t>个，碳钢储罐</w:t>
      </w:r>
      <w:r w:rsidRPr="00A214B0">
        <w:rPr>
          <w:color w:val="000000" w:themeColor="text1"/>
          <w:szCs w:val="24"/>
          <w:lang w:val="en-US"/>
        </w:rPr>
        <w:t>50</w:t>
      </w:r>
      <w:r w:rsidRPr="00A214B0">
        <w:rPr>
          <w:color w:val="000000" w:themeColor="text1"/>
          <w:szCs w:val="24"/>
          <w:lang w:val="en-US"/>
        </w:rPr>
        <w:t>个。总罐容量为</w:t>
      </w:r>
      <w:r w:rsidRPr="00A214B0">
        <w:rPr>
          <w:color w:val="000000" w:themeColor="text1"/>
          <w:szCs w:val="24"/>
          <w:lang w:val="en-US"/>
        </w:rPr>
        <w:t>30</w:t>
      </w:r>
      <w:r w:rsidRPr="00A214B0">
        <w:rPr>
          <w:color w:val="000000" w:themeColor="text1"/>
          <w:szCs w:val="24"/>
          <w:lang w:val="en-US"/>
        </w:rPr>
        <w:t>万立方米。每罐可实现一罐三品。</w:t>
      </w:r>
    </w:p>
    <w:p w:rsidR="00D56508" w:rsidRPr="00A214B0" w:rsidRDefault="00D56508">
      <w:pPr>
        <w:pStyle w:val="a1"/>
        <w:adjustRightInd w:val="0"/>
        <w:snapToGrid w:val="0"/>
        <w:spacing w:line="360" w:lineRule="auto"/>
        <w:ind w:firstLineChars="200" w:firstLine="480"/>
        <w:jc w:val="center"/>
        <w:rPr>
          <w:color w:val="000000" w:themeColor="text1"/>
          <w:szCs w:val="24"/>
          <w:lang w:val="en-US"/>
        </w:rPr>
      </w:pPr>
    </w:p>
    <w:tbl>
      <w:tblPr>
        <w:tblW w:w="8863" w:type="dxa"/>
        <w:tblLayout w:type="fixed"/>
        <w:tblCellMar>
          <w:left w:w="0" w:type="dxa"/>
          <w:right w:w="0" w:type="dxa"/>
        </w:tblCellMar>
        <w:tblLook w:val="04A0" w:firstRow="1" w:lastRow="0" w:firstColumn="1" w:lastColumn="0" w:noHBand="0" w:noVBand="1"/>
      </w:tblPr>
      <w:tblGrid>
        <w:gridCol w:w="1430"/>
        <w:gridCol w:w="550"/>
        <w:gridCol w:w="492"/>
        <w:gridCol w:w="491"/>
        <w:gridCol w:w="492"/>
        <w:gridCol w:w="492"/>
        <w:gridCol w:w="491"/>
        <w:gridCol w:w="492"/>
        <w:gridCol w:w="492"/>
        <w:gridCol w:w="491"/>
        <w:gridCol w:w="492"/>
        <w:gridCol w:w="491"/>
        <w:gridCol w:w="492"/>
        <w:gridCol w:w="492"/>
        <w:gridCol w:w="491"/>
        <w:gridCol w:w="492"/>
      </w:tblGrid>
      <w:tr w:rsidR="00D56508" w:rsidRPr="00A214B0">
        <w:trPr>
          <w:trHeight w:val="5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right"/>
              <w:textAlignment w:val="center"/>
              <w:rPr>
                <w:rFonts w:ascii="Times New Roman" w:eastAsia="宋体" w:hAnsi="Times New Roman" w:cs="Times New Roman"/>
                <w:color w:val="000000" w:themeColor="text1"/>
                <w:sz w:val="18"/>
                <w:szCs w:val="18"/>
              </w:rPr>
            </w:pPr>
            <w:r w:rsidRPr="00A214B0">
              <w:rPr>
                <w:rFonts w:ascii="Times New Roman" w:hAnsi="Times New Roman" w:cs="Times New Roman"/>
                <w:noProof/>
                <w:color w:val="000000" w:themeColor="text1"/>
                <w:sz w:val="18"/>
                <w:szCs w:val="18"/>
              </w:rPr>
              <mc:AlternateContent>
                <mc:Choice Requires="wps">
                  <w:drawing>
                    <wp:anchor distT="0" distB="0" distL="114300" distR="114300" simplePos="0" relativeHeight="251659264" behindDoc="0" locked="0" layoutInCell="1" allowOverlap="1" wp14:anchorId="23532A40" wp14:editId="48889677">
                      <wp:simplePos x="0" y="0"/>
                      <wp:positionH relativeFrom="column">
                        <wp:posOffset>-15875</wp:posOffset>
                      </wp:positionH>
                      <wp:positionV relativeFrom="paragraph">
                        <wp:posOffset>20955</wp:posOffset>
                      </wp:positionV>
                      <wp:extent cx="685800" cy="1275080"/>
                      <wp:effectExtent l="4445" t="2540" r="14605" b="17780"/>
                      <wp:wrapNone/>
                      <wp:docPr id="17" name="直接连接符 17"/>
                      <wp:cNvGraphicFramePr/>
                      <a:graphic xmlns:a="http://schemas.openxmlformats.org/drawingml/2006/main">
                        <a:graphicData uri="http://schemas.microsoft.com/office/word/2010/wordprocessingShape">
                          <wps:wsp>
                            <wps:cNvCnPr/>
                            <wps:spPr>
                              <a:xfrm>
                                <a:off x="1125220" y="4899660"/>
                                <a:ext cx="685800" cy="127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5pt;margin-top:1.65pt;height:100.4pt;width:54pt;z-index:251659264;mso-width-relative:page;mso-height-relative:page;" filled="f" stroked="t" coordsize="21600,21600" o:gfxdata="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W2LnNYA&#10;AAAIAQAADwAAAAAAAAABACAAAAAiAAAAZHJzL2Rvd25yZXYueG1sUEsBAhQAFAAAAAgAh07iQNas&#10;QwroAQAAmAMAAA4AAAAAAAAAAQAgAAAAJQEAAGRycy9lMm9Eb2MueG1sUEsFBgAAAAAGAAYAWQEA&#10;AH8FAAAAAA==&#10;">
                      <v:fill on="f" focussize="0,0"/>
                      <v:stroke color="#000000 [3200]" joinstyle="round"/>
                      <v:imagedata o:title=""/>
                      <o:lock v:ext="edit" aspectratio="f"/>
                    </v:line>
                  </w:pict>
                </mc:Fallback>
              </mc:AlternateContent>
            </w:r>
            <w:r w:rsidRPr="00A214B0">
              <w:rPr>
                <w:rFonts w:ascii="Times New Roman" w:hAnsi="Times New Roman" w:cs="Times New Roman"/>
                <w:noProof/>
                <w:color w:val="000000" w:themeColor="text1"/>
                <w:sz w:val="18"/>
                <w:szCs w:val="18"/>
              </w:rPr>
              <mc:AlternateContent>
                <mc:Choice Requires="wps">
                  <w:drawing>
                    <wp:anchor distT="0" distB="0" distL="114300" distR="114300" simplePos="0" relativeHeight="251658240" behindDoc="0" locked="0" layoutInCell="1" allowOverlap="1" wp14:anchorId="3B013C6E" wp14:editId="397822B3">
                      <wp:simplePos x="0" y="0"/>
                      <wp:positionH relativeFrom="column">
                        <wp:posOffset>3175</wp:posOffset>
                      </wp:positionH>
                      <wp:positionV relativeFrom="paragraph">
                        <wp:posOffset>14605</wp:posOffset>
                      </wp:positionV>
                      <wp:extent cx="923925" cy="676275"/>
                      <wp:effectExtent l="2540" t="3810" r="6985" b="5715"/>
                      <wp:wrapNone/>
                      <wp:docPr id="16" name="直接连接符 16"/>
                      <wp:cNvGraphicFramePr/>
                      <a:graphic xmlns:a="http://schemas.openxmlformats.org/drawingml/2006/main">
                        <a:graphicData uri="http://schemas.microsoft.com/office/word/2010/wordprocessingShape">
                          <wps:wsp>
                            <wps:cNvCnPr/>
                            <wps:spPr>
                              <a:xfrm>
                                <a:off x="1144270" y="4899660"/>
                                <a:ext cx="923925"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5pt;margin-top:1.15pt;height:53.25pt;width:72.75pt;z-index:251658240;mso-width-relative:page;mso-height-relative:page;" filled="f" stroked="t" coordsize="21600,21600" o:gfxdata="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xBjgrUAAAABgEA&#10;AA8AAAAAAAAAAQAgAAAAIgAAAGRycy9kb3ducmV2LnhtbFBLAQIUABQAAAAIAIdO4kBuUUzs5QEA&#10;AJcDAAAOAAAAAAAAAAEAIAAAACMBAABkcnMvZTJvRG9jLnhtbFBLBQYAAAAABgAGAFkBAAB6BQAA&#10;AAA=&#10;">
                      <v:fill on="f" focussize="0,0"/>
                      <v:stroke color="#000000 [3200]" joinstyle="round"/>
                      <v:imagedata o:title=""/>
                      <o:lock v:ext="edit" aspectratio="f"/>
                    </v:line>
                  </w:pict>
                </mc:Fallback>
              </mc:AlternateContent>
            </w:r>
            <w:r w:rsidRPr="00A214B0">
              <w:rPr>
                <w:rFonts w:ascii="Times New Roman" w:hAnsi="Times New Roman" w:cs="Times New Roman"/>
                <w:color w:val="000000" w:themeColor="text1"/>
                <w:sz w:val="18"/>
                <w:szCs w:val="18"/>
              </w:rPr>
              <w:t>容积（</w:t>
            </w:r>
            <w:r w:rsidRPr="00A214B0">
              <w:rPr>
                <w:rFonts w:ascii="Times New Roman" w:hAnsi="Times New Roman" w:cs="Times New Roman"/>
                <w:color w:val="000000" w:themeColor="text1"/>
                <w:sz w:val="18"/>
                <w:szCs w:val="18"/>
              </w:rPr>
              <w:t>m³</w:t>
            </w:r>
            <w:r w:rsidRPr="00A214B0">
              <w:rPr>
                <w:rFonts w:ascii="Times New Roman" w:hAnsi="Times New Roman" w:cs="Times New Roman"/>
                <w:color w:val="000000" w:themeColor="text1"/>
                <w:sz w:val="18"/>
                <w:szCs w:val="18"/>
              </w:rPr>
              <w:t>）</w:t>
            </w:r>
          </w:p>
          <w:p w:rsidR="00D56508" w:rsidRPr="00A214B0" w:rsidRDefault="00D56508">
            <w:pPr>
              <w:pStyle w:val="a1"/>
              <w:ind w:firstLineChars="400" w:firstLine="720"/>
              <w:rPr>
                <w:color w:val="000000" w:themeColor="text1"/>
                <w:sz w:val="18"/>
                <w:szCs w:val="18"/>
              </w:rPr>
            </w:pPr>
          </w:p>
          <w:p w:rsidR="00D56508" w:rsidRPr="00A214B0" w:rsidRDefault="00F1265B">
            <w:pPr>
              <w:pStyle w:val="a1"/>
              <w:ind w:firstLineChars="100" w:firstLine="180"/>
              <w:rPr>
                <w:color w:val="000000" w:themeColor="text1"/>
                <w:sz w:val="18"/>
                <w:szCs w:val="18"/>
              </w:rPr>
            </w:pPr>
            <w:r w:rsidRPr="00A214B0">
              <w:rPr>
                <w:color w:val="000000" w:themeColor="text1"/>
                <w:sz w:val="18"/>
                <w:szCs w:val="18"/>
              </w:rPr>
              <w:t>材质</w:t>
            </w:r>
            <w:r w:rsidRPr="00A214B0">
              <w:rPr>
                <w:color w:val="000000" w:themeColor="text1"/>
                <w:sz w:val="18"/>
                <w:szCs w:val="18"/>
                <w:lang w:val="en-US"/>
              </w:rPr>
              <w:t xml:space="preserve">  </w:t>
            </w:r>
            <w:r w:rsidRPr="00A214B0">
              <w:rPr>
                <w:color w:val="000000" w:themeColor="text1"/>
                <w:sz w:val="15"/>
                <w:szCs w:val="15"/>
              </w:rPr>
              <w:t>数量（个）</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1500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2000</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2700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2900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3000</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3100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3800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4000</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4400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5100</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5300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5500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6000</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6700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14500</w:t>
            </w:r>
          </w:p>
        </w:tc>
      </w:tr>
      <w:tr w:rsidR="00D56508" w:rsidRPr="00A214B0">
        <w:trPr>
          <w:trHeight w:val="5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22"/>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r>
      <w:tr w:rsidR="00D56508" w:rsidRPr="00A214B0">
        <w:trPr>
          <w:trHeight w:val="9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22"/>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r>
      <w:tr w:rsidR="00D56508" w:rsidRPr="00A214B0">
        <w:trPr>
          <w:trHeight w:val="270"/>
        </w:trPr>
        <w:tc>
          <w:tcPr>
            <w:tcW w:w="1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22"/>
              </w:rPr>
            </w:pPr>
            <w:r w:rsidRPr="00A214B0">
              <w:rPr>
                <w:rFonts w:ascii="Times New Roman" w:eastAsia="宋体" w:hAnsi="Times New Roman" w:cs="Times New Roman"/>
                <w:color w:val="000000" w:themeColor="text1"/>
                <w:kern w:val="0"/>
                <w:sz w:val="22"/>
                <w:lang w:bidi="ar"/>
              </w:rPr>
              <w:t>碳钢储罐</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6</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6</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6</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r>
      <w:tr w:rsidR="00D56508" w:rsidRPr="00A214B0">
        <w:trPr>
          <w:trHeight w:val="270"/>
        </w:trPr>
        <w:tc>
          <w:tcPr>
            <w:tcW w:w="1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22"/>
              </w:rPr>
            </w:pPr>
            <w:r w:rsidRPr="00A214B0">
              <w:rPr>
                <w:rFonts w:ascii="Times New Roman" w:eastAsia="宋体" w:hAnsi="Times New Roman" w:cs="Times New Roman"/>
                <w:color w:val="000000" w:themeColor="text1"/>
                <w:kern w:val="0"/>
                <w:sz w:val="22"/>
                <w:lang w:bidi="ar"/>
              </w:rPr>
              <w:t>不锈钢罐</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r>
      <w:tr w:rsidR="00D56508" w:rsidRPr="00A214B0">
        <w:trPr>
          <w:trHeight w:val="270"/>
        </w:trPr>
        <w:tc>
          <w:tcPr>
            <w:tcW w:w="1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22"/>
              </w:rPr>
            </w:pPr>
            <w:r w:rsidRPr="00A214B0">
              <w:rPr>
                <w:rFonts w:ascii="Times New Roman" w:eastAsia="宋体" w:hAnsi="Times New Roman" w:cs="Times New Roman"/>
                <w:color w:val="000000" w:themeColor="text1"/>
                <w:kern w:val="0"/>
                <w:sz w:val="22"/>
                <w:lang w:bidi="ar"/>
              </w:rPr>
              <w:t>保温储罐</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4</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6</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5</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3</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1</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r>
      <w:tr w:rsidR="00D56508" w:rsidRPr="00A214B0">
        <w:trPr>
          <w:trHeight w:val="270"/>
        </w:trPr>
        <w:tc>
          <w:tcPr>
            <w:tcW w:w="1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22"/>
              </w:rPr>
            </w:pPr>
            <w:r w:rsidRPr="00A214B0">
              <w:rPr>
                <w:rFonts w:ascii="Times New Roman" w:eastAsia="宋体" w:hAnsi="Times New Roman" w:cs="Times New Roman"/>
                <w:color w:val="000000" w:themeColor="text1"/>
                <w:kern w:val="0"/>
                <w:sz w:val="22"/>
                <w:lang w:bidi="ar"/>
              </w:rPr>
              <w:t>保冷储罐</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D56508">
            <w:pPr>
              <w:jc w:val="center"/>
              <w:rPr>
                <w:rFonts w:ascii="Times New Roman" w:eastAsia="宋体" w:hAnsi="Times New Roman" w:cs="Times New Roman"/>
                <w:color w:val="000000" w:themeColor="text1"/>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6508" w:rsidRPr="00A214B0" w:rsidRDefault="00F1265B">
            <w:pPr>
              <w:widowControl/>
              <w:jc w:val="center"/>
              <w:textAlignment w:val="center"/>
              <w:rPr>
                <w:rFonts w:ascii="Times New Roman" w:eastAsia="宋体" w:hAnsi="Times New Roman" w:cs="Times New Roman"/>
                <w:color w:val="000000" w:themeColor="text1"/>
                <w:sz w:val="18"/>
                <w:szCs w:val="18"/>
              </w:rPr>
            </w:pPr>
            <w:r w:rsidRPr="00A214B0">
              <w:rPr>
                <w:rFonts w:ascii="Times New Roman" w:eastAsia="宋体" w:hAnsi="Times New Roman" w:cs="Times New Roman"/>
                <w:color w:val="000000" w:themeColor="text1"/>
                <w:kern w:val="0"/>
                <w:sz w:val="18"/>
                <w:szCs w:val="18"/>
                <w:lang w:bidi="ar"/>
              </w:rPr>
              <w:t>-</w:t>
            </w:r>
          </w:p>
        </w:tc>
      </w:tr>
    </w:tbl>
    <w:p w:rsidR="00D56508" w:rsidRPr="00A214B0" w:rsidRDefault="00D56508">
      <w:pPr>
        <w:pStyle w:val="a1"/>
        <w:adjustRightInd w:val="0"/>
        <w:snapToGrid w:val="0"/>
        <w:spacing w:line="360" w:lineRule="auto"/>
        <w:ind w:firstLineChars="200" w:firstLine="480"/>
        <w:jc w:val="left"/>
        <w:rPr>
          <w:color w:val="000000" w:themeColor="text1"/>
          <w:szCs w:val="24"/>
        </w:rPr>
      </w:pPr>
    </w:p>
    <w:p w:rsidR="00D56508" w:rsidRPr="00A214B0" w:rsidRDefault="00F1265B">
      <w:pPr>
        <w:pStyle w:val="a1"/>
        <w:adjustRightInd w:val="0"/>
        <w:snapToGrid w:val="0"/>
        <w:spacing w:line="360" w:lineRule="auto"/>
        <w:ind w:firstLineChars="200" w:firstLine="480"/>
        <w:jc w:val="left"/>
        <w:rPr>
          <w:color w:val="000000" w:themeColor="text1"/>
          <w:szCs w:val="24"/>
        </w:rPr>
      </w:pPr>
      <w:r w:rsidRPr="00A214B0">
        <w:rPr>
          <w:color w:val="000000" w:themeColor="text1"/>
          <w:szCs w:val="24"/>
        </w:rPr>
        <w:t>（</w:t>
      </w:r>
      <w:r w:rsidRPr="00A214B0">
        <w:rPr>
          <w:color w:val="000000" w:themeColor="text1"/>
          <w:szCs w:val="24"/>
        </w:rPr>
        <w:t>4</w:t>
      </w:r>
      <w:r w:rsidRPr="00A214B0">
        <w:rPr>
          <w:color w:val="000000" w:themeColor="text1"/>
          <w:szCs w:val="24"/>
        </w:rPr>
        <w:t>）公司优势、劣势</w:t>
      </w:r>
    </w:p>
    <w:p w:rsidR="00D56508" w:rsidRPr="00A214B0" w:rsidRDefault="00F1265B">
      <w:pPr>
        <w:pStyle w:val="a1"/>
        <w:adjustRightInd w:val="0"/>
        <w:snapToGrid w:val="0"/>
        <w:spacing w:line="360" w:lineRule="auto"/>
        <w:ind w:firstLineChars="200" w:firstLine="480"/>
        <w:jc w:val="left"/>
        <w:rPr>
          <w:color w:val="000000" w:themeColor="text1"/>
          <w:szCs w:val="24"/>
        </w:rPr>
      </w:pPr>
      <w:r w:rsidRPr="00A214B0">
        <w:rPr>
          <w:color w:val="000000" w:themeColor="text1"/>
          <w:szCs w:val="24"/>
        </w:rPr>
        <w:t>1</w:t>
      </w:r>
      <w:r w:rsidRPr="00A214B0">
        <w:rPr>
          <w:color w:val="000000" w:themeColor="text1"/>
          <w:szCs w:val="24"/>
        </w:rPr>
        <w:t>、公司优势</w:t>
      </w:r>
    </w:p>
    <w:p w:rsidR="00D56508" w:rsidRPr="00A214B0" w:rsidRDefault="00F1265B">
      <w:pPr>
        <w:pStyle w:val="a1"/>
        <w:adjustRightInd w:val="0"/>
        <w:snapToGrid w:val="0"/>
        <w:spacing w:line="360" w:lineRule="auto"/>
        <w:ind w:firstLineChars="200" w:firstLine="480"/>
        <w:jc w:val="left"/>
        <w:rPr>
          <w:color w:val="000000" w:themeColor="text1"/>
          <w:szCs w:val="24"/>
        </w:rPr>
      </w:pPr>
      <w:r w:rsidRPr="00A214B0">
        <w:rPr>
          <w:color w:val="000000" w:themeColor="text1"/>
          <w:szCs w:val="24"/>
        </w:rPr>
        <w:t>拥有深水码头，地理条件优越，可以实现水陆多种运输之间的转换。</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2</w:t>
      </w:r>
      <w:r w:rsidRPr="00A214B0">
        <w:rPr>
          <w:rFonts w:ascii="Times New Roman" w:eastAsia="宋体" w:hAnsi="Times New Roman" w:cs="Times New Roman"/>
          <w:color w:val="000000" w:themeColor="text1"/>
          <w:sz w:val="24"/>
        </w:rPr>
        <w:t>、公司劣势</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fldChar w:fldCharType="begin"/>
      </w:r>
      <w:r w:rsidRPr="00A214B0">
        <w:rPr>
          <w:rFonts w:ascii="Times New Roman" w:eastAsia="宋体" w:hAnsi="Times New Roman" w:cs="Times New Roman"/>
          <w:color w:val="000000" w:themeColor="text1"/>
          <w:sz w:val="24"/>
        </w:rPr>
        <w:instrText xml:space="preserve"> = 1 \* GB3 </w:instrText>
      </w:r>
      <w:r w:rsidRPr="00A214B0">
        <w:rPr>
          <w:rFonts w:ascii="Times New Roman" w:eastAsia="宋体" w:hAnsi="Times New Roman" w:cs="Times New Roman"/>
          <w:color w:val="000000" w:themeColor="text1"/>
          <w:sz w:val="24"/>
        </w:rPr>
        <w:fldChar w:fldCharType="separate"/>
      </w:r>
      <w:r w:rsidRPr="00A214B0">
        <w:rPr>
          <w:rFonts w:ascii="Times New Roman" w:eastAsia="宋体" w:hAnsi="Times New Roman" w:cs="Times New Roman"/>
          <w:color w:val="000000" w:themeColor="text1"/>
          <w:sz w:val="24"/>
        </w:rPr>
        <w:t>①</w:t>
      </w:r>
      <w:r w:rsidRPr="00A214B0">
        <w:rPr>
          <w:rFonts w:ascii="Times New Roman" w:eastAsia="宋体" w:hAnsi="Times New Roman" w:cs="Times New Roman"/>
          <w:color w:val="000000" w:themeColor="text1"/>
          <w:sz w:val="24"/>
        </w:rPr>
        <w:fldChar w:fldCharType="end"/>
      </w:r>
      <w:r w:rsidRPr="00A214B0">
        <w:rPr>
          <w:rFonts w:ascii="Times New Roman" w:eastAsia="宋体" w:hAnsi="Times New Roman" w:cs="Times New Roman"/>
          <w:color w:val="000000" w:themeColor="text1"/>
          <w:sz w:val="24"/>
        </w:rPr>
        <w:t>基础建设投入大，前期需要大量的资金投入，债务比例较高。</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fldChar w:fldCharType="begin"/>
      </w:r>
      <w:r w:rsidRPr="00A214B0">
        <w:rPr>
          <w:rFonts w:ascii="Times New Roman" w:eastAsia="宋体" w:hAnsi="Times New Roman" w:cs="Times New Roman"/>
          <w:color w:val="000000" w:themeColor="text1"/>
          <w:sz w:val="24"/>
        </w:rPr>
        <w:instrText xml:space="preserve"> = 2 \* GB3 </w:instrText>
      </w:r>
      <w:r w:rsidRPr="00A214B0">
        <w:rPr>
          <w:rFonts w:ascii="Times New Roman" w:eastAsia="宋体" w:hAnsi="Times New Roman" w:cs="Times New Roman"/>
          <w:color w:val="000000" w:themeColor="text1"/>
          <w:sz w:val="24"/>
        </w:rPr>
        <w:fldChar w:fldCharType="separate"/>
      </w:r>
      <w:r w:rsidRPr="00A214B0">
        <w:rPr>
          <w:rFonts w:ascii="Times New Roman" w:eastAsia="宋体" w:hAnsi="Times New Roman" w:cs="Times New Roman"/>
          <w:color w:val="000000" w:themeColor="text1"/>
          <w:sz w:val="24"/>
        </w:rPr>
        <w:t>②</w:t>
      </w:r>
      <w:r w:rsidRPr="00A214B0">
        <w:rPr>
          <w:rFonts w:ascii="Times New Roman" w:eastAsia="宋体" w:hAnsi="Times New Roman" w:cs="Times New Roman"/>
          <w:color w:val="000000" w:themeColor="text1"/>
          <w:sz w:val="24"/>
        </w:rPr>
        <w:fldChar w:fldCharType="end"/>
      </w:r>
      <w:r w:rsidRPr="00A214B0">
        <w:rPr>
          <w:rFonts w:ascii="Times New Roman" w:eastAsia="宋体" w:hAnsi="Times New Roman" w:cs="Times New Roman"/>
          <w:color w:val="000000" w:themeColor="text1"/>
          <w:sz w:val="24"/>
        </w:rPr>
        <w:t>发展受国民经济的发展、化工产品自身特点和化工行业的需求影响较大；其未来获得的收益依赖于上游化工行业发展，而化工行业的发展受政治、经济发展等多重影响，存在较大的不确性。</w:t>
      </w:r>
    </w:p>
    <w:p w:rsidR="00D56508" w:rsidRPr="00A214B0" w:rsidRDefault="00F1265B">
      <w:pPr>
        <w:pStyle w:val="a1"/>
        <w:adjustRightInd w:val="0"/>
        <w:snapToGrid w:val="0"/>
        <w:spacing w:line="360" w:lineRule="auto"/>
        <w:ind w:firstLineChars="200" w:firstLine="480"/>
        <w:rPr>
          <w:color w:val="000000" w:themeColor="text1"/>
          <w:lang w:val="en-US"/>
        </w:rPr>
      </w:pPr>
      <w:r w:rsidRPr="00A214B0">
        <w:rPr>
          <w:color w:val="000000" w:themeColor="text1"/>
          <w:lang w:val="en-US"/>
        </w:rPr>
        <w:t>（</w:t>
      </w:r>
      <w:r w:rsidRPr="00A214B0">
        <w:rPr>
          <w:color w:val="000000" w:themeColor="text1"/>
          <w:lang w:val="en-US"/>
        </w:rPr>
        <w:t>5</w:t>
      </w:r>
      <w:r w:rsidRPr="00A214B0">
        <w:rPr>
          <w:color w:val="000000" w:themeColor="text1"/>
          <w:lang w:val="en-US"/>
        </w:rPr>
        <w:t>）海企仓储财务状况分析</w:t>
      </w:r>
    </w:p>
    <w:p w:rsidR="00D56508" w:rsidRPr="00A214B0" w:rsidRDefault="00F1265B">
      <w:pPr>
        <w:autoSpaceDE w:val="0"/>
        <w:autoSpaceDN w:val="0"/>
        <w:adjustRightInd w:val="0"/>
        <w:snapToGrid w:val="0"/>
        <w:spacing w:line="360" w:lineRule="auto"/>
        <w:ind w:firstLineChars="200" w:firstLine="480"/>
        <w:jc w:val="left"/>
        <w:rPr>
          <w:rFonts w:ascii="Times New Roman" w:eastAsia="宋体" w:hAnsi="Times New Roman" w:cs="Times New Roman"/>
          <w:color w:val="000000" w:themeColor="text1"/>
          <w:sz w:val="24"/>
          <w:szCs w:val="24"/>
        </w:rPr>
      </w:pPr>
      <w:bookmarkStart w:id="110" w:name="_Toc507541580"/>
      <w:bookmarkStart w:id="111" w:name="_Toc312703584"/>
      <w:r w:rsidRPr="00A214B0">
        <w:rPr>
          <w:rFonts w:ascii="Times New Roman" w:eastAsia="宋体" w:hAnsi="Times New Roman" w:cs="Times New Roman"/>
          <w:color w:val="000000" w:themeColor="text1"/>
          <w:sz w:val="24"/>
          <w:szCs w:val="24"/>
        </w:rPr>
        <w:t>财务指标分析</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2951"/>
        <w:gridCol w:w="2952"/>
      </w:tblGrid>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一、偿债能力分析</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402"/>
        </w:trPr>
        <w:tc>
          <w:tcPr>
            <w:tcW w:w="314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项</w:t>
            </w:r>
            <w:r w:rsidRPr="00A214B0">
              <w:rPr>
                <w:rFonts w:ascii="Times New Roman" w:eastAsia="宋体" w:hAnsi="Times New Roman" w:cs="Times New Roman"/>
                <w:b/>
                <w:bCs/>
                <w:color w:val="000000" w:themeColor="text1"/>
                <w:kern w:val="0"/>
                <w:sz w:val="20"/>
                <w:szCs w:val="20"/>
              </w:rPr>
              <w:t xml:space="preserve">  </w:t>
            </w:r>
            <w:r w:rsidRPr="00A214B0">
              <w:rPr>
                <w:rFonts w:ascii="Times New Roman" w:eastAsia="宋体" w:hAnsi="Times New Roman" w:cs="Times New Roman"/>
                <w:b/>
                <w:bCs/>
                <w:color w:val="000000" w:themeColor="text1"/>
                <w:kern w:val="0"/>
                <w:sz w:val="20"/>
                <w:szCs w:val="20"/>
              </w:rPr>
              <w:t>目</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基准日前两年</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基准日前一年</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期末流动比率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0.27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0.22 </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期末速动比率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0.26</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0.22</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期末资产负债率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50.0%</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47.2%</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已获利息倍数</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2.20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2.85 </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二、资金管理能力分析</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402"/>
        </w:trPr>
        <w:tc>
          <w:tcPr>
            <w:tcW w:w="314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项</w:t>
            </w:r>
            <w:r w:rsidRPr="00A214B0">
              <w:rPr>
                <w:rFonts w:ascii="Times New Roman" w:eastAsia="宋体" w:hAnsi="Times New Roman" w:cs="Times New Roman"/>
                <w:b/>
                <w:bCs/>
                <w:color w:val="000000" w:themeColor="text1"/>
                <w:kern w:val="0"/>
                <w:sz w:val="20"/>
                <w:szCs w:val="20"/>
              </w:rPr>
              <w:t xml:space="preserve">  </w:t>
            </w:r>
            <w:r w:rsidRPr="00A214B0">
              <w:rPr>
                <w:rFonts w:ascii="Times New Roman" w:eastAsia="宋体" w:hAnsi="Times New Roman" w:cs="Times New Roman"/>
                <w:b/>
                <w:bCs/>
                <w:color w:val="000000" w:themeColor="text1"/>
                <w:kern w:val="0"/>
                <w:sz w:val="20"/>
                <w:szCs w:val="20"/>
              </w:rPr>
              <w:t>目</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基准日前两年</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基准日前一年</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应收帐款周转率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10.34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9.59 </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存货周转率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47.44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45.90 </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流动资产周转率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2.30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1.95 </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总资产周转率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0.18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0.19 </w:t>
            </w:r>
          </w:p>
        </w:tc>
      </w:tr>
      <w:tr w:rsidR="00D56508" w:rsidRPr="00A214B0">
        <w:trPr>
          <w:trHeight w:val="255"/>
        </w:trPr>
        <w:tc>
          <w:tcPr>
            <w:tcW w:w="3146"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三、盈利性分析</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402"/>
        </w:trPr>
        <w:tc>
          <w:tcPr>
            <w:tcW w:w="314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项</w:t>
            </w:r>
            <w:r w:rsidRPr="00A214B0">
              <w:rPr>
                <w:rFonts w:ascii="Times New Roman" w:eastAsia="宋体" w:hAnsi="Times New Roman" w:cs="Times New Roman"/>
                <w:b/>
                <w:bCs/>
                <w:color w:val="000000" w:themeColor="text1"/>
                <w:kern w:val="0"/>
                <w:sz w:val="20"/>
                <w:szCs w:val="20"/>
              </w:rPr>
              <w:t xml:space="preserve">  </w:t>
            </w:r>
            <w:r w:rsidRPr="00A214B0">
              <w:rPr>
                <w:rFonts w:ascii="Times New Roman" w:eastAsia="宋体" w:hAnsi="Times New Roman" w:cs="Times New Roman"/>
                <w:b/>
                <w:bCs/>
                <w:color w:val="000000" w:themeColor="text1"/>
                <w:kern w:val="0"/>
                <w:sz w:val="20"/>
                <w:szCs w:val="20"/>
              </w:rPr>
              <w:t>目</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基准日前两年</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基准日前一年</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销售利润率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16.45%</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18.12%</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净资产收益率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6.02%</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6.82%</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资产净利率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2.90%</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3.51%</w:t>
            </w:r>
          </w:p>
        </w:tc>
      </w:tr>
      <w:tr w:rsidR="00D56508" w:rsidRPr="00A214B0">
        <w:trPr>
          <w:trHeight w:val="255"/>
        </w:trPr>
        <w:tc>
          <w:tcPr>
            <w:tcW w:w="3146" w:type="dxa"/>
            <w:shd w:val="clear" w:color="auto" w:fill="auto"/>
            <w:noWrap/>
            <w:vAlign w:val="center"/>
          </w:tcPr>
          <w:p w:rsidR="00D56508" w:rsidRPr="00A214B0" w:rsidRDefault="00F1265B">
            <w:pPr>
              <w:widowControl/>
              <w:ind w:firstLineChars="100" w:firstLine="200"/>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总资产报酬率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6.72%</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7.66%</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r w:rsidRPr="00A214B0">
              <w:rPr>
                <w:rFonts w:ascii="Times New Roman" w:eastAsia="宋体" w:hAnsi="Times New Roman" w:cs="Times New Roman"/>
                <w:color w:val="000000" w:themeColor="text1"/>
                <w:kern w:val="0"/>
                <w:sz w:val="20"/>
                <w:szCs w:val="20"/>
              </w:rPr>
              <w:t>主营业务利润率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20.10%</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24.11%</w:t>
            </w:r>
          </w:p>
        </w:tc>
      </w:tr>
      <w:tr w:rsidR="00D56508" w:rsidRPr="00A214B0">
        <w:trPr>
          <w:trHeight w:val="255"/>
        </w:trPr>
        <w:tc>
          <w:tcPr>
            <w:tcW w:w="3146"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四、经营增长情况</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p>
        </w:tc>
      </w:tr>
      <w:tr w:rsidR="00D56508" w:rsidRPr="00A214B0">
        <w:trPr>
          <w:trHeight w:val="375"/>
        </w:trPr>
        <w:tc>
          <w:tcPr>
            <w:tcW w:w="314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项</w:t>
            </w:r>
            <w:r w:rsidRPr="00A214B0">
              <w:rPr>
                <w:rFonts w:ascii="Times New Roman" w:eastAsia="宋体" w:hAnsi="Times New Roman" w:cs="Times New Roman"/>
                <w:b/>
                <w:bCs/>
                <w:color w:val="000000" w:themeColor="text1"/>
                <w:kern w:val="0"/>
                <w:sz w:val="20"/>
                <w:szCs w:val="20"/>
              </w:rPr>
              <w:t xml:space="preserve">  </w:t>
            </w:r>
            <w:r w:rsidRPr="00A214B0">
              <w:rPr>
                <w:rFonts w:ascii="Times New Roman" w:eastAsia="宋体" w:hAnsi="Times New Roman" w:cs="Times New Roman"/>
                <w:b/>
                <w:bCs/>
                <w:color w:val="000000" w:themeColor="text1"/>
                <w:kern w:val="0"/>
                <w:sz w:val="20"/>
                <w:szCs w:val="20"/>
              </w:rPr>
              <w:t>目</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基准日前两年</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基准日前一年</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r w:rsidRPr="00A214B0">
              <w:rPr>
                <w:rFonts w:ascii="Times New Roman" w:eastAsia="宋体" w:hAnsi="Times New Roman" w:cs="Times New Roman"/>
                <w:color w:val="000000" w:themeColor="text1"/>
                <w:kern w:val="0"/>
                <w:sz w:val="20"/>
                <w:szCs w:val="20"/>
              </w:rPr>
              <w:t>营业收入增长率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27.1%</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6.8%</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r w:rsidRPr="00A214B0">
              <w:rPr>
                <w:rFonts w:ascii="Times New Roman" w:eastAsia="宋体" w:hAnsi="Times New Roman" w:cs="Times New Roman"/>
                <w:color w:val="000000" w:themeColor="text1"/>
                <w:kern w:val="0"/>
                <w:sz w:val="20"/>
                <w:szCs w:val="20"/>
              </w:rPr>
              <w:t>总资产增长率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-1.37%</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-3.94%</w:t>
            </w:r>
          </w:p>
        </w:tc>
      </w:tr>
      <w:tr w:rsidR="00D56508" w:rsidRPr="00A214B0">
        <w:trPr>
          <w:trHeight w:val="255"/>
        </w:trPr>
        <w:tc>
          <w:tcPr>
            <w:tcW w:w="3146" w:type="dxa"/>
            <w:shd w:val="clear" w:color="auto" w:fill="auto"/>
            <w:noWrap/>
            <w:vAlign w:val="center"/>
          </w:tcPr>
          <w:p w:rsidR="00D56508" w:rsidRPr="00A214B0" w:rsidRDefault="00F1265B">
            <w:pPr>
              <w:widowControl/>
              <w:jc w:val="left"/>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w:t>
            </w:r>
            <w:r w:rsidRPr="00A214B0">
              <w:rPr>
                <w:rFonts w:ascii="Times New Roman" w:eastAsia="宋体" w:hAnsi="Times New Roman" w:cs="Times New Roman"/>
                <w:color w:val="000000" w:themeColor="text1"/>
                <w:kern w:val="0"/>
                <w:sz w:val="20"/>
                <w:szCs w:val="20"/>
              </w:rPr>
              <w:t>所有者权益增长率</w:t>
            </w:r>
          </w:p>
        </w:tc>
        <w:tc>
          <w:tcPr>
            <w:tcW w:w="2951"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6.20%</w:t>
            </w:r>
          </w:p>
        </w:tc>
        <w:tc>
          <w:tcPr>
            <w:tcW w:w="295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1.60%</w:t>
            </w:r>
          </w:p>
        </w:tc>
      </w:tr>
    </w:tbl>
    <w:p w:rsidR="00D56508" w:rsidRPr="00A214B0" w:rsidRDefault="00F1265B">
      <w:pPr>
        <w:adjustRightInd w:val="0"/>
        <w:snapToGrid w:val="0"/>
        <w:spacing w:beforeLines="50" w:before="250" w:line="360" w:lineRule="auto"/>
        <w:ind w:firstLineChars="200" w:firstLine="480"/>
        <w:jc w:val="left"/>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评估基准日海企仓储的流动比率和速</w:t>
      </w:r>
      <w:r w:rsidRPr="00A214B0">
        <w:rPr>
          <w:rFonts w:ascii="Times New Roman" w:eastAsia="宋体" w:hAnsi="Times New Roman" w:cs="Times New Roman" w:hint="eastAsia"/>
          <w:color w:val="000000" w:themeColor="text1"/>
          <w:sz w:val="24"/>
          <w:szCs w:val="24"/>
        </w:rPr>
        <w:t>动</w:t>
      </w:r>
      <w:r w:rsidRPr="00A214B0">
        <w:rPr>
          <w:rFonts w:ascii="Times New Roman" w:eastAsia="宋体" w:hAnsi="Times New Roman" w:cs="Times New Roman"/>
          <w:color w:val="000000" w:themeColor="text1"/>
          <w:sz w:val="24"/>
          <w:szCs w:val="24"/>
        </w:rPr>
        <w:t>比率较低，主要原因是企业投入主要为长期性资产的建设，短期流动资产较少，符合行业特征，企业靠借款来建设储罐，整体资产负债率较高，但是借款大部分来自股东借款，短期内并没有偿债压力。</w:t>
      </w:r>
    </w:p>
    <w:p w:rsidR="00D56508" w:rsidRPr="00A214B0" w:rsidRDefault="00F1265B">
      <w:pPr>
        <w:adjustRightInd w:val="0"/>
        <w:snapToGrid w:val="0"/>
        <w:spacing w:line="360" w:lineRule="auto"/>
        <w:ind w:firstLineChars="200" w:firstLine="480"/>
        <w:jc w:val="left"/>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资金管理上，主要是应收账款，目前企业规模扩大，为了吸引更多客户，信用政策有所放宽。</w:t>
      </w:r>
    </w:p>
    <w:p w:rsidR="00D56508" w:rsidRPr="00A214B0" w:rsidRDefault="00F1265B">
      <w:pPr>
        <w:pStyle w:val="a1"/>
        <w:adjustRightInd w:val="0"/>
        <w:snapToGrid w:val="0"/>
        <w:spacing w:line="360" w:lineRule="auto"/>
        <w:ind w:firstLineChars="200" w:firstLine="480"/>
        <w:jc w:val="left"/>
        <w:rPr>
          <w:color w:val="000000" w:themeColor="text1"/>
          <w:lang w:val="en-US"/>
        </w:rPr>
      </w:pPr>
      <w:r w:rsidRPr="00A214B0">
        <w:rPr>
          <w:color w:val="000000" w:themeColor="text1"/>
          <w:lang w:val="en-US"/>
        </w:rPr>
        <w:t>海企仓储盈利能力较强，销售净利润水平超越一般同行业，成本中</w:t>
      </w:r>
      <w:r w:rsidRPr="00A214B0">
        <w:rPr>
          <w:color w:val="000000" w:themeColor="text1"/>
          <w:lang w:val="en-US"/>
        </w:rPr>
        <w:t>60%-70%</w:t>
      </w:r>
      <w:r w:rsidRPr="00A214B0">
        <w:rPr>
          <w:color w:val="000000" w:themeColor="text1"/>
          <w:lang w:val="en-US"/>
        </w:rPr>
        <w:t>为非付现的折旧费，实际经营现金流较好。</w:t>
      </w:r>
    </w:p>
    <w:p w:rsidR="00D56508" w:rsidRPr="00A214B0" w:rsidRDefault="00F1265B">
      <w:pPr>
        <w:pStyle w:val="a1"/>
        <w:adjustRightInd w:val="0"/>
        <w:snapToGrid w:val="0"/>
        <w:spacing w:line="360" w:lineRule="auto"/>
        <w:ind w:firstLineChars="200" w:firstLine="480"/>
        <w:jc w:val="left"/>
        <w:rPr>
          <w:color w:val="000000" w:themeColor="text1"/>
          <w:lang w:val="en-US"/>
        </w:rPr>
      </w:pPr>
      <w:r w:rsidRPr="00A214B0">
        <w:rPr>
          <w:color w:val="000000" w:themeColor="text1"/>
          <w:lang w:val="en-US"/>
        </w:rPr>
        <w:t>从发展能力看，</w:t>
      </w:r>
      <w:r w:rsidRPr="00A214B0">
        <w:rPr>
          <w:color w:val="000000" w:themeColor="text1"/>
          <w:lang w:val="en-US"/>
        </w:rPr>
        <w:t>2017</w:t>
      </w:r>
      <w:r w:rsidRPr="00A214B0">
        <w:rPr>
          <w:color w:val="000000" w:themeColor="text1"/>
          <w:lang w:val="en-US"/>
        </w:rPr>
        <w:t>年较</w:t>
      </w:r>
      <w:r w:rsidRPr="00A214B0">
        <w:rPr>
          <w:color w:val="000000" w:themeColor="text1"/>
          <w:lang w:val="en-US"/>
        </w:rPr>
        <w:t>2018</w:t>
      </w:r>
      <w:r w:rsidRPr="00A214B0">
        <w:rPr>
          <w:color w:val="000000" w:themeColor="text1"/>
          <w:lang w:val="en-US"/>
        </w:rPr>
        <w:t>年收入增长较多，主要是因为增加了储罐数量，仓储能力有所增加</w:t>
      </w:r>
      <w:r w:rsidRPr="00A214B0">
        <w:rPr>
          <w:rFonts w:hint="eastAsia"/>
          <w:color w:val="000000" w:themeColor="text1"/>
          <w:lang w:val="en-US"/>
        </w:rPr>
        <w:t>。另外，仓储能力的增加也使企业发展能力获得了较大的提升，总体来看，企业发展能力较强。</w:t>
      </w:r>
    </w:p>
    <w:p w:rsidR="00D56508" w:rsidRPr="00A214B0" w:rsidRDefault="00F1265B">
      <w:pPr>
        <w:autoSpaceDE w:val="0"/>
        <w:autoSpaceDN w:val="0"/>
        <w:adjustRightInd w:val="0"/>
        <w:snapToGrid w:val="0"/>
        <w:spacing w:line="360" w:lineRule="auto"/>
        <w:ind w:firstLineChars="200" w:firstLine="560"/>
        <w:jc w:val="left"/>
        <w:outlineLvl w:val="1"/>
        <w:rPr>
          <w:rFonts w:ascii="Times New Roman" w:eastAsia="黑体" w:hAnsi="Times New Roman" w:cs="Times New Roman"/>
          <w:color w:val="000000" w:themeColor="text1"/>
          <w:sz w:val="28"/>
          <w:szCs w:val="28"/>
        </w:rPr>
      </w:pPr>
      <w:bookmarkStart w:id="112" w:name="_Toc25699"/>
      <w:r w:rsidRPr="00A214B0">
        <w:rPr>
          <w:rFonts w:ascii="Times New Roman" w:eastAsia="黑体" w:hAnsi="Times New Roman" w:cs="Times New Roman"/>
          <w:color w:val="000000" w:themeColor="text1"/>
          <w:sz w:val="28"/>
          <w:szCs w:val="28"/>
        </w:rPr>
        <w:t>五、评估计算及分析过程</w:t>
      </w:r>
      <w:bookmarkEnd w:id="110"/>
      <w:bookmarkEnd w:id="111"/>
      <w:bookmarkEnd w:id="112"/>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（一）收益模型的选取</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、概述</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根据《资产评估</w:t>
      </w:r>
      <w:r w:rsidRPr="00A214B0">
        <w:rPr>
          <w:rFonts w:ascii="Times New Roman" w:eastAsia="宋体" w:hAnsi="Times New Roman" w:cs="Times New Roman" w:hint="eastAsia"/>
          <w:color w:val="000000" w:themeColor="text1"/>
          <w:sz w:val="24"/>
          <w:szCs w:val="24"/>
        </w:rPr>
        <w:t>执业</w:t>
      </w:r>
      <w:r w:rsidRPr="00A214B0">
        <w:rPr>
          <w:rFonts w:ascii="Times New Roman" w:eastAsia="宋体" w:hAnsi="Times New Roman" w:cs="Times New Roman"/>
          <w:color w:val="000000" w:themeColor="text1"/>
          <w:sz w:val="24"/>
          <w:szCs w:val="24"/>
        </w:rPr>
        <w:t>准则</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企业价值》，确定按收益途径，采用现金流折现法（</w:t>
      </w:r>
      <w:r w:rsidRPr="00A214B0">
        <w:rPr>
          <w:rFonts w:ascii="Times New Roman" w:eastAsia="宋体" w:hAnsi="Times New Roman" w:cs="Times New Roman"/>
          <w:color w:val="000000" w:themeColor="text1"/>
          <w:sz w:val="24"/>
          <w:szCs w:val="24"/>
        </w:rPr>
        <w:t>DCF</w:t>
      </w:r>
      <w:r w:rsidRPr="00A214B0">
        <w:rPr>
          <w:rFonts w:ascii="Times New Roman" w:eastAsia="宋体" w:hAnsi="Times New Roman" w:cs="Times New Roman"/>
          <w:color w:val="000000" w:themeColor="text1"/>
          <w:sz w:val="24"/>
          <w:szCs w:val="24"/>
        </w:rPr>
        <w:t>）对评估对象的价值进行估算。</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现金流折现法（</w:t>
      </w:r>
      <w:r w:rsidRPr="00A214B0">
        <w:rPr>
          <w:rFonts w:ascii="Times New Roman" w:eastAsia="宋体" w:hAnsi="Times New Roman" w:cs="Times New Roman"/>
          <w:color w:val="000000" w:themeColor="text1"/>
          <w:sz w:val="24"/>
          <w:szCs w:val="24"/>
        </w:rPr>
        <w:t>DCF</w:t>
      </w:r>
      <w:r w:rsidRPr="00A214B0">
        <w:rPr>
          <w:rFonts w:ascii="Times New Roman" w:eastAsia="宋体" w:hAnsi="Times New Roman" w:cs="Times New Roman"/>
          <w:color w:val="000000" w:themeColor="text1"/>
          <w:sz w:val="24"/>
          <w:szCs w:val="24"/>
        </w:rPr>
        <w:t>）是指通过将企业未来预期的现金流折算成现值，评估企业价值的一种方法。即通过估算企业未来预期现金流和采用适宜的折现率，将预期现金流折算成现时价值，得到企业价值。</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其适用的基本条件是：企业具备持续经营的基础和条件，资产经营与收益之间存在较稳定的对应关系，并且未来收益和风险能够预测且可量化。</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2</w:t>
      </w:r>
      <w:r w:rsidRPr="00A214B0">
        <w:rPr>
          <w:rFonts w:ascii="Times New Roman" w:eastAsia="宋体" w:hAnsi="Times New Roman" w:cs="Times New Roman"/>
          <w:color w:val="000000" w:themeColor="text1"/>
          <w:sz w:val="24"/>
          <w:szCs w:val="24"/>
        </w:rPr>
        <w:t>、基本评估思路</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根据本次评估尽职调查情况以及企业的资产构成和主营业务特点，本次评估的基本思路是以企业经审计的历史年度会计报表为基础，结合企业未来发展战略及规划，并综合分析、考虑被评估企业的人力资源、技术水平、资本结构、自身优劣势、持续经营盈利能力及所在行业现状与发展前景等估算其股东全部权益价值。即首先按收益途径采用现金流折现法（</w:t>
      </w:r>
      <w:r w:rsidRPr="00A214B0">
        <w:rPr>
          <w:rFonts w:ascii="Times New Roman" w:eastAsia="宋体" w:hAnsi="Times New Roman" w:cs="Times New Roman"/>
          <w:color w:val="000000" w:themeColor="text1"/>
          <w:sz w:val="24"/>
          <w:szCs w:val="24"/>
        </w:rPr>
        <w:t>DCF</w:t>
      </w:r>
      <w:r w:rsidRPr="00A214B0">
        <w:rPr>
          <w:rFonts w:ascii="Times New Roman" w:eastAsia="宋体" w:hAnsi="Times New Roman" w:cs="Times New Roman"/>
          <w:color w:val="000000" w:themeColor="text1"/>
          <w:sz w:val="24"/>
          <w:szCs w:val="24"/>
        </w:rPr>
        <w:t>），估算经营性资产的价值，再加上企业对外长期投资的权益价值、以及基准日的其他非经营性、溢余资产的价值，得出企业的股东全部权益价值。</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3</w:t>
      </w:r>
      <w:r w:rsidRPr="00A214B0">
        <w:rPr>
          <w:rFonts w:ascii="Times New Roman" w:eastAsia="宋体" w:hAnsi="Times New Roman" w:cs="Times New Roman"/>
          <w:color w:val="000000" w:themeColor="text1"/>
          <w:sz w:val="24"/>
          <w:szCs w:val="24"/>
        </w:rPr>
        <w:t>、评估模型</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1</w:t>
      </w:r>
      <w:r w:rsidRPr="00A214B0">
        <w:rPr>
          <w:rFonts w:ascii="Times New Roman" w:eastAsia="宋体" w:hAnsi="Times New Roman" w:cs="Times New Roman"/>
          <w:color w:val="000000" w:themeColor="text1"/>
          <w:sz w:val="24"/>
          <w:szCs w:val="24"/>
        </w:rPr>
        <w:t>）基本模型</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本次评估采用现金流折现法中的企业现金流模型。</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公式如下：</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股东全部权益可回收价值＝企业价值－付息债务价值</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企业价值＝经营性资产价值</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长期股权投资价值</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非经营性资产价值</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溢余资产价值</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非经营性负债价值</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付息债务是指评估基准日被评估单位账面上需要付息的债务，包括短期借款、带息的应付票据、一年内到期的长期负债、长期借款和应付债券等。</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其中，企业自由现金流</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税后净利润</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折旧与摊销</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扣税后付息债务利息</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资本性支出</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净营运资金变动</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经营性资产价值的计算公式为：</w:t>
      </w:r>
    </w:p>
    <w:p w:rsidR="00D56508" w:rsidRPr="00A214B0" w:rsidRDefault="00F1265B">
      <w:pPr>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 xml:space="preserve"> </w:t>
      </w:r>
      <m:oMath>
        <m:r>
          <m:rPr>
            <m:sty m:val="p"/>
          </m:rPr>
          <w:rPr>
            <w:rFonts w:ascii="Cambria Math" w:eastAsia="宋体" w:hAnsi="Cambria Math" w:cs="Times New Roman"/>
            <w:color w:val="000000" w:themeColor="text1"/>
            <w:szCs w:val="24"/>
          </w:rPr>
          <m:t>P=</m:t>
        </m:r>
        <m:nary>
          <m:naryPr>
            <m:chr m:val="∑"/>
            <m:limLoc m:val="undOvr"/>
            <m:ctrlPr>
              <w:rPr>
                <w:rFonts w:ascii="Cambria Math" w:eastAsia="宋体" w:hAnsi="Cambria Math" w:cs="Times New Roman"/>
                <w:color w:val="000000" w:themeColor="text1"/>
                <w:szCs w:val="24"/>
              </w:rPr>
            </m:ctrlPr>
          </m:naryPr>
          <m:sub>
            <m:r>
              <m:rPr>
                <m:sty m:val="p"/>
              </m:rPr>
              <w:rPr>
                <w:rFonts w:ascii="Cambria Math" w:eastAsia="宋体" w:hAnsi="Cambria Math" w:cs="Times New Roman"/>
                <w:color w:val="000000" w:themeColor="text1"/>
                <w:szCs w:val="24"/>
              </w:rPr>
              <m:t>t=1</m:t>
            </m:r>
          </m:sub>
          <m:sup>
            <m:r>
              <m:rPr>
                <m:sty m:val="p"/>
              </m:rPr>
              <w:rPr>
                <w:rFonts w:ascii="Cambria Math" w:eastAsia="宋体" w:hAnsi="Cambria Math" w:cs="Times New Roman"/>
                <w:color w:val="000000" w:themeColor="text1"/>
                <w:szCs w:val="24"/>
              </w:rPr>
              <m:t>n</m:t>
            </m:r>
          </m:sup>
          <m:e>
            <m:f>
              <m:fPr>
                <m:ctrlPr>
                  <w:rPr>
                    <w:rFonts w:ascii="Cambria Math" w:eastAsia="宋体" w:hAnsi="Cambria Math" w:cs="Times New Roman"/>
                    <w:color w:val="000000" w:themeColor="text1"/>
                    <w:szCs w:val="24"/>
                  </w:rPr>
                </m:ctrlPr>
              </m:fPr>
              <m:num>
                <m:r>
                  <m:rPr>
                    <m:sty m:val="p"/>
                  </m:rPr>
                  <w:rPr>
                    <w:rFonts w:ascii="Cambria Math" w:eastAsia="宋体" w:hAnsi="Cambria Math" w:cs="Times New Roman"/>
                    <w:color w:val="000000" w:themeColor="text1"/>
                    <w:szCs w:val="24"/>
                  </w:rPr>
                  <m:t>Ft</m:t>
                </m:r>
              </m:num>
              <m:den>
                <m:sSup>
                  <m:sSupPr>
                    <m:ctrlPr>
                      <w:rPr>
                        <w:rFonts w:ascii="Cambria Math" w:eastAsia="宋体" w:hAnsi="Cambria Math" w:cs="Times New Roman"/>
                        <w:color w:val="000000" w:themeColor="text1"/>
                        <w:szCs w:val="24"/>
                      </w:rPr>
                    </m:ctrlPr>
                  </m:sSupPr>
                  <m:e>
                    <m:r>
                      <m:rPr>
                        <m:sty m:val="p"/>
                      </m:rPr>
                      <w:rPr>
                        <w:rFonts w:ascii="Cambria Math" w:eastAsia="宋体" w:hAnsi="Cambria Math" w:cs="Times New Roman"/>
                        <w:color w:val="000000" w:themeColor="text1"/>
                        <w:szCs w:val="24"/>
                      </w:rPr>
                      <m:t>(1+r)</m:t>
                    </m:r>
                  </m:e>
                  <m:sup>
                    <m:r>
                      <m:rPr>
                        <m:sty m:val="p"/>
                      </m:rPr>
                      <w:rPr>
                        <w:rFonts w:ascii="Cambria Math" w:eastAsia="宋体" w:hAnsi="Cambria Math" w:cs="Times New Roman"/>
                        <w:color w:val="000000" w:themeColor="text1"/>
                        <w:szCs w:val="24"/>
                      </w:rPr>
                      <m:t>t</m:t>
                    </m:r>
                  </m:sup>
                </m:sSup>
              </m:den>
            </m:f>
          </m:e>
        </m:nary>
        <m:r>
          <m:rPr>
            <m:sty m:val="p"/>
          </m:rPr>
          <w:rPr>
            <w:rFonts w:ascii="Cambria Math" w:eastAsia="宋体" w:hAnsi="Cambria Math" w:cs="Times New Roman"/>
            <w:color w:val="000000" w:themeColor="text1"/>
            <w:szCs w:val="24"/>
          </w:rPr>
          <m:t>+</m:t>
        </m:r>
        <m:f>
          <m:fPr>
            <m:ctrlPr>
              <w:rPr>
                <w:rFonts w:ascii="Cambria Math" w:eastAsia="宋体" w:hAnsi="Cambria Math" w:cs="Times New Roman"/>
                <w:color w:val="000000" w:themeColor="text1"/>
                <w:szCs w:val="24"/>
              </w:rPr>
            </m:ctrlPr>
          </m:fPr>
          <m:num>
            <m:r>
              <m:rPr>
                <m:sty m:val="p"/>
              </m:rPr>
              <w:rPr>
                <w:rFonts w:ascii="Cambria Math" w:eastAsia="宋体" w:hAnsi="Cambria Math" w:cs="Times New Roman"/>
                <w:color w:val="000000" w:themeColor="text1"/>
                <w:szCs w:val="24"/>
              </w:rPr>
              <m:t>Fn</m:t>
            </m:r>
          </m:num>
          <m:den>
            <m:r>
              <m:rPr>
                <m:sty m:val="p"/>
              </m:rPr>
              <w:rPr>
                <w:rFonts w:ascii="Cambria Math" w:eastAsia="宋体" w:hAnsi="Cambria Math" w:cs="Times New Roman"/>
                <w:color w:val="000000" w:themeColor="text1"/>
                <w:szCs w:val="24"/>
              </w:rPr>
              <m:t>r</m:t>
            </m:r>
            <m:sSup>
              <m:sSupPr>
                <m:ctrlPr>
                  <w:rPr>
                    <w:rFonts w:ascii="Cambria Math" w:eastAsia="宋体" w:hAnsi="Cambria Math" w:cs="Times New Roman"/>
                    <w:color w:val="000000" w:themeColor="text1"/>
                    <w:szCs w:val="24"/>
                  </w:rPr>
                </m:ctrlPr>
              </m:sSupPr>
              <m:e>
                <m:r>
                  <m:rPr>
                    <m:sty m:val="p"/>
                  </m:rPr>
                  <w:rPr>
                    <w:rFonts w:ascii="Cambria Math" w:eastAsia="宋体" w:hAnsi="Cambria Math" w:cs="Times New Roman"/>
                    <w:color w:val="000000" w:themeColor="text1"/>
                    <w:szCs w:val="24"/>
                  </w:rPr>
                  <m:t>(1+r)</m:t>
                </m:r>
              </m:e>
              <m:sup>
                <m:r>
                  <m:rPr>
                    <m:sty m:val="p"/>
                  </m:rPr>
                  <w:rPr>
                    <w:rFonts w:ascii="Cambria Math" w:eastAsia="宋体" w:hAnsi="Cambria Math" w:cs="Times New Roman"/>
                    <w:color w:val="000000" w:themeColor="text1"/>
                    <w:szCs w:val="24"/>
                  </w:rPr>
                  <m:t>n</m:t>
                </m:r>
              </m:sup>
            </m:sSup>
          </m:den>
        </m:f>
      </m:oMath>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其中：</w:t>
      </w:r>
      <w:r w:rsidRPr="00A214B0">
        <w:rPr>
          <w:rFonts w:ascii="Times New Roman" w:eastAsia="宋体" w:hAnsi="Times New Roman" w:cs="Times New Roman"/>
          <w:color w:val="000000" w:themeColor="text1"/>
          <w:sz w:val="24"/>
          <w:szCs w:val="24"/>
        </w:rPr>
        <w:t>P ——</w:t>
      </w:r>
      <w:r w:rsidRPr="00A214B0">
        <w:rPr>
          <w:rFonts w:ascii="Times New Roman" w:eastAsia="宋体" w:hAnsi="Times New Roman" w:cs="Times New Roman"/>
          <w:color w:val="000000" w:themeColor="text1"/>
          <w:sz w:val="24"/>
          <w:szCs w:val="24"/>
        </w:rPr>
        <w:t>评估基准日的企业经营性资产价值</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Fi——</w:t>
      </w:r>
      <w:r w:rsidRPr="00A214B0">
        <w:rPr>
          <w:rFonts w:ascii="Times New Roman" w:eastAsia="宋体" w:hAnsi="Times New Roman" w:cs="Times New Roman"/>
          <w:color w:val="000000" w:themeColor="text1"/>
          <w:sz w:val="24"/>
          <w:szCs w:val="24"/>
        </w:rPr>
        <w:t>企业未来第</w:t>
      </w:r>
      <w:r w:rsidRPr="00A214B0">
        <w:rPr>
          <w:rFonts w:ascii="Times New Roman" w:eastAsia="宋体" w:hAnsi="Times New Roman" w:cs="Times New Roman"/>
          <w:color w:val="000000" w:themeColor="text1"/>
          <w:sz w:val="24"/>
          <w:szCs w:val="24"/>
        </w:rPr>
        <w:t>i</w:t>
      </w:r>
      <w:r w:rsidRPr="00A214B0">
        <w:rPr>
          <w:rFonts w:ascii="Times New Roman" w:eastAsia="宋体" w:hAnsi="Times New Roman" w:cs="Times New Roman"/>
          <w:color w:val="000000" w:themeColor="text1"/>
          <w:sz w:val="24"/>
          <w:szCs w:val="24"/>
        </w:rPr>
        <w:t>年预期自由现金流量</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Fn——</w:t>
      </w:r>
      <w:r w:rsidRPr="00A214B0">
        <w:rPr>
          <w:rFonts w:ascii="Times New Roman" w:eastAsia="宋体" w:hAnsi="Times New Roman" w:cs="Times New Roman"/>
          <w:color w:val="000000" w:themeColor="text1"/>
          <w:sz w:val="24"/>
          <w:szCs w:val="24"/>
        </w:rPr>
        <w:t>永续期预期自由现金流量</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r ——</w:t>
      </w:r>
      <w:r w:rsidRPr="00A214B0">
        <w:rPr>
          <w:rFonts w:ascii="Times New Roman" w:eastAsia="宋体" w:hAnsi="Times New Roman" w:cs="Times New Roman"/>
          <w:color w:val="000000" w:themeColor="text1"/>
          <w:sz w:val="24"/>
          <w:szCs w:val="24"/>
        </w:rPr>
        <w:t>折现率</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t ——</w:t>
      </w:r>
      <w:r w:rsidRPr="00A214B0">
        <w:rPr>
          <w:rFonts w:ascii="Times New Roman" w:eastAsia="宋体" w:hAnsi="Times New Roman" w:cs="Times New Roman"/>
          <w:color w:val="000000" w:themeColor="text1"/>
          <w:sz w:val="24"/>
          <w:szCs w:val="24"/>
        </w:rPr>
        <w:t>收益期计算年</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n ——</w:t>
      </w:r>
      <w:r w:rsidRPr="00A214B0">
        <w:rPr>
          <w:rFonts w:ascii="Times New Roman" w:eastAsia="宋体" w:hAnsi="Times New Roman" w:cs="Times New Roman"/>
          <w:color w:val="000000" w:themeColor="text1"/>
          <w:sz w:val="24"/>
          <w:szCs w:val="24"/>
        </w:rPr>
        <w:t>预测期</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（二）收益年限的确定</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1</w:t>
      </w:r>
      <w:r w:rsidRPr="00A214B0">
        <w:rPr>
          <w:color w:val="000000" w:themeColor="text1"/>
          <w:sz w:val="24"/>
          <w:szCs w:val="22"/>
        </w:rPr>
        <w:t>、预测期的确定</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由于评估基准日被评估单位经营正常，没有对影响企业继续经营的核心资产的使用年限进行限定和对企业生产经营期限进行限定，并可以通过延续方式永续使用。故本评估报告假设被评估单位评估基准日后永续经营，相应的收益期为无限期。</w:t>
      </w:r>
    </w:p>
    <w:p w:rsidR="00D56508" w:rsidRPr="00A214B0" w:rsidRDefault="00F1265B">
      <w:pPr>
        <w:pStyle w:val="a1"/>
        <w:adjustRightInd w:val="0"/>
        <w:snapToGrid w:val="0"/>
        <w:spacing w:line="360" w:lineRule="auto"/>
        <w:ind w:firstLineChars="200" w:firstLine="480"/>
        <w:rPr>
          <w:color w:val="000000" w:themeColor="text1"/>
          <w:szCs w:val="24"/>
        </w:rPr>
      </w:pPr>
      <w:r w:rsidRPr="00A214B0">
        <w:rPr>
          <w:color w:val="000000" w:themeColor="text1"/>
          <w:szCs w:val="24"/>
        </w:rPr>
        <w:t>根据海企仓储目前经营状况、业务特点、市场供需情况，预计其在</w:t>
      </w:r>
      <w:r w:rsidRPr="00A214B0">
        <w:rPr>
          <w:color w:val="000000" w:themeColor="text1"/>
          <w:szCs w:val="24"/>
        </w:rPr>
        <w:t>2024</w:t>
      </w:r>
      <w:r w:rsidRPr="00A214B0">
        <w:rPr>
          <w:color w:val="000000" w:themeColor="text1"/>
          <w:szCs w:val="24"/>
        </w:rPr>
        <w:t>年进入稳定期，故预测期确定为</w:t>
      </w:r>
      <w:r w:rsidRPr="00A214B0">
        <w:rPr>
          <w:color w:val="000000" w:themeColor="text1"/>
          <w:szCs w:val="24"/>
        </w:rPr>
        <w:t>2019</w:t>
      </w:r>
      <w:r w:rsidRPr="00A214B0">
        <w:rPr>
          <w:color w:val="000000" w:themeColor="text1"/>
          <w:szCs w:val="24"/>
        </w:rPr>
        <w:t>年</w:t>
      </w:r>
      <w:r w:rsidRPr="00A214B0">
        <w:rPr>
          <w:color w:val="000000" w:themeColor="text1"/>
          <w:szCs w:val="24"/>
        </w:rPr>
        <w:t>5</w:t>
      </w:r>
      <w:r w:rsidRPr="00A214B0">
        <w:rPr>
          <w:color w:val="000000" w:themeColor="text1"/>
          <w:szCs w:val="24"/>
        </w:rPr>
        <w:t>月</w:t>
      </w:r>
      <w:r w:rsidRPr="00A214B0">
        <w:rPr>
          <w:color w:val="000000" w:themeColor="text1"/>
          <w:szCs w:val="24"/>
        </w:rPr>
        <w:t>1</w:t>
      </w:r>
      <w:r w:rsidRPr="00A214B0">
        <w:rPr>
          <w:color w:val="000000" w:themeColor="text1"/>
          <w:szCs w:val="24"/>
        </w:rPr>
        <w:t>日</w:t>
      </w:r>
      <w:r w:rsidRPr="00A214B0">
        <w:rPr>
          <w:color w:val="000000" w:themeColor="text1"/>
          <w:szCs w:val="24"/>
        </w:rPr>
        <w:t>-2024</w:t>
      </w:r>
      <w:r w:rsidRPr="00A214B0">
        <w:rPr>
          <w:color w:val="000000" w:themeColor="text1"/>
          <w:szCs w:val="24"/>
        </w:rPr>
        <w:t>年</w:t>
      </w:r>
      <w:r w:rsidRPr="00A214B0">
        <w:rPr>
          <w:color w:val="000000" w:themeColor="text1"/>
          <w:szCs w:val="24"/>
        </w:rPr>
        <w:t>12</w:t>
      </w:r>
      <w:r w:rsidRPr="00A214B0">
        <w:rPr>
          <w:color w:val="000000" w:themeColor="text1"/>
          <w:szCs w:val="24"/>
        </w:rPr>
        <w:t>月共</w:t>
      </w:r>
      <w:r w:rsidRPr="00A214B0">
        <w:rPr>
          <w:color w:val="000000" w:themeColor="text1"/>
          <w:szCs w:val="24"/>
        </w:rPr>
        <w:t>5</w:t>
      </w:r>
      <w:r w:rsidRPr="00A214B0">
        <w:rPr>
          <w:color w:val="000000" w:themeColor="text1"/>
          <w:szCs w:val="24"/>
        </w:rPr>
        <w:t>年一期。</w:t>
      </w:r>
    </w:p>
    <w:p w:rsidR="00D56508" w:rsidRPr="00A214B0" w:rsidRDefault="00F1265B">
      <w:pPr>
        <w:pStyle w:val="aa"/>
        <w:adjustRightInd w:val="0"/>
        <w:snapToGrid w:val="0"/>
        <w:spacing w:line="360" w:lineRule="auto"/>
        <w:ind w:firstLineChars="200" w:firstLine="480"/>
        <w:rPr>
          <w:color w:val="000000" w:themeColor="text1"/>
          <w:kern w:val="2"/>
          <w:sz w:val="24"/>
        </w:rPr>
      </w:pPr>
      <w:r w:rsidRPr="00A214B0">
        <w:rPr>
          <w:color w:val="000000" w:themeColor="text1"/>
          <w:kern w:val="2"/>
          <w:sz w:val="24"/>
        </w:rPr>
        <w:t>2</w:t>
      </w:r>
      <w:r w:rsidRPr="00A214B0">
        <w:rPr>
          <w:color w:val="000000" w:themeColor="text1"/>
          <w:kern w:val="2"/>
          <w:sz w:val="24"/>
        </w:rPr>
        <w:t>、收益期的确定</w:t>
      </w:r>
    </w:p>
    <w:p w:rsidR="00D56508" w:rsidRPr="00A214B0" w:rsidRDefault="00F1265B">
      <w:pPr>
        <w:pStyle w:val="aa"/>
        <w:adjustRightInd w:val="0"/>
        <w:snapToGrid w:val="0"/>
        <w:spacing w:line="360" w:lineRule="auto"/>
        <w:ind w:firstLineChars="200" w:firstLine="480"/>
        <w:rPr>
          <w:color w:val="000000" w:themeColor="text1"/>
          <w:kern w:val="2"/>
          <w:sz w:val="24"/>
        </w:rPr>
      </w:pPr>
      <w:r w:rsidRPr="00A214B0">
        <w:rPr>
          <w:color w:val="000000" w:themeColor="text1"/>
          <w:kern w:val="2"/>
          <w:sz w:val="24"/>
        </w:rPr>
        <w:t>被评估单位营业执照核准的营业期限为永久，且企业业务稳定，经营正常，没有对影响企业继续经营的核心资产的使用年限进行限定和对企业生产经营期限进行限定，故收益期按永续确定，即本次确定明确的预测期限为</w:t>
      </w:r>
      <w:r w:rsidRPr="00A214B0">
        <w:rPr>
          <w:color w:val="000000" w:themeColor="text1"/>
          <w:kern w:val="2"/>
          <w:sz w:val="24"/>
        </w:rPr>
        <w:t>5</w:t>
      </w:r>
      <w:r w:rsidRPr="00A214B0">
        <w:rPr>
          <w:color w:val="000000" w:themeColor="text1"/>
          <w:kern w:val="2"/>
          <w:sz w:val="24"/>
        </w:rPr>
        <w:t>年一期，即预测到</w:t>
      </w:r>
      <w:r w:rsidRPr="00A214B0">
        <w:rPr>
          <w:color w:val="000000" w:themeColor="text1"/>
          <w:kern w:val="2"/>
          <w:sz w:val="24"/>
        </w:rPr>
        <w:t>2024</w:t>
      </w:r>
      <w:r w:rsidRPr="00A214B0">
        <w:rPr>
          <w:color w:val="000000" w:themeColor="text1"/>
          <w:kern w:val="2"/>
          <w:sz w:val="24"/>
        </w:rPr>
        <w:t>年</w:t>
      </w:r>
      <w:r w:rsidRPr="00A214B0">
        <w:rPr>
          <w:color w:val="000000" w:themeColor="text1"/>
          <w:kern w:val="2"/>
          <w:sz w:val="24"/>
        </w:rPr>
        <w:t>12</w:t>
      </w:r>
      <w:r w:rsidRPr="00A214B0">
        <w:rPr>
          <w:color w:val="000000" w:themeColor="text1"/>
          <w:kern w:val="2"/>
          <w:sz w:val="24"/>
        </w:rPr>
        <w:t>月，</w:t>
      </w:r>
      <w:r w:rsidRPr="00A214B0">
        <w:rPr>
          <w:color w:val="000000" w:themeColor="text1"/>
          <w:kern w:val="2"/>
          <w:sz w:val="24"/>
        </w:rPr>
        <w:t>2025</w:t>
      </w:r>
      <w:r w:rsidRPr="00A214B0">
        <w:rPr>
          <w:color w:val="000000" w:themeColor="text1"/>
          <w:kern w:val="2"/>
          <w:sz w:val="24"/>
        </w:rPr>
        <w:t>年之后永续。</w:t>
      </w:r>
    </w:p>
    <w:p w:rsidR="00D56508" w:rsidRPr="00A214B0" w:rsidRDefault="00F1265B">
      <w:pPr>
        <w:pStyle w:val="aa"/>
        <w:adjustRightInd w:val="0"/>
        <w:snapToGrid w:val="0"/>
        <w:spacing w:line="360" w:lineRule="auto"/>
        <w:ind w:firstLineChars="200" w:firstLine="480"/>
        <w:rPr>
          <w:color w:val="000000" w:themeColor="text1"/>
          <w:kern w:val="2"/>
          <w:sz w:val="24"/>
        </w:rPr>
      </w:pPr>
      <w:r w:rsidRPr="00A214B0">
        <w:rPr>
          <w:color w:val="000000" w:themeColor="text1"/>
          <w:kern w:val="2"/>
          <w:sz w:val="24"/>
        </w:rPr>
        <w:t>3</w:t>
      </w:r>
      <w:r w:rsidRPr="00A214B0">
        <w:rPr>
          <w:color w:val="000000" w:themeColor="text1"/>
          <w:kern w:val="2"/>
          <w:sz w:val="24"/>
        </w:rPr>
        <w:t>、收益口径的预测</w:t>
      </w:r>
    </w:p>
    <w:p w:rsidR="00D56508" w:rsidRPr="00A214B0" w:rsidRDefault="00F1265B">
      <w:pPr>
        <w:pStyle w:val="aa"/>
        <w:adjustRightInd w:val="0"/>
        <w:snapToGrid w:val="0"/>
        <w:spacing w:line="360" w:lineRule="auto"/>
        <w:ind w:firstLineChars="200" w:firstLine="480"/>
        <w:rPr>
          <w:color w:val="000000" w:themeColor="text1"/>
          <w:kern w:val="2"/>
          <w:sz w:val="24"/>
        </w:rPr>
      </w:pPr>
      <w:r w:rsidRPr="00A214B0">
        <w:rPr>
          <w:color w:val="000000" w:themeColor="text1"/>
          <w:kern w:val="2"/>
          <w:sz w:val="24"/>
        </w:rPr>
        <w:t>海企仓储合并报表范围内有长期股权投资一家江苏海企港务有限公司，持股比例</w:t>
      </w:r>
      <w:r w:rsidRPr="00A214B0">
        <w:rPr>
          <w:color w:val="000000" w:themeColor="text1"/>
          <w:kern w:val="2"/>
          <w:sz w:val="24"/>
        </w:rPr>
        <w:t>100%</w:t>
      </w:r>
      <w:r w:rsidRPr="00A214B0">
        <w:rPr>
          <w:color w:val="000000" w:themeColor="text1"/>
          <w:kern w:val="2"/>
          <w:sz w:val="24"/>
        </w:rPr>
        <w:t>，营业地点与海企仓储相同，主要从事化工装卸，为海企仓储的仓储服务的配套收入，收入较小，收入开票对象基本为母公司海企仓储，故本次预测采用合并收益口径预测，合并范围为海企仓储及子公司海企港务。</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近三年一期财务报表如下：</w:t>
      </w:r>
    </w:p>
    <w:p w:rsidR="00D56508" w:rsidRPr="00A214B0" w:rsidRDefault="00F1265B">
      <w:pPr>
        <w:snapToGrid w:val="0"/>
        <w:spacing w:line="360" w:lineRule="auto"/>
        <w:ind w:firstLineChars="300" w:firstLine="723"/>
        <w:jc w:val="center"/>
        <w:rPr>
          <w:rFonts w:ascii="Times New Roman" w:eastAsia="宋体" w:hAnsi="Times New Roman" w:cs="Times New Roman"/>
          <w:b/>
          <w:color w:val="000000" w:themeColor="text1"/>
          <w:sz w:val="24"/>
        </w:rPr>
      </w:pPr>
      <w:r w:rsidRPr="00A214B0">
        <w:rPr>
          <w:rFonts w:ascii="Times New Roman" w:eastAsia="宋体" w:hAnsi="Times New Roman" w:cs="Times New Roman"/>
          <w:b/>
          <w:color w:val="000000" w:themeColor="text1"/>
          <w:sz w:val="24"/>
        </w:rPr>
        <w:t>合并资产负债表</w:t>
      </w:r>
    </w:p>
    <w:p w:rsidR="00D56508" w:rsidRPr="00A214B0" w:rsidRDefault="00F1265B">
      <w:pPr>
        <w:spacing w:before="1"/>
        <w:ind w:right="493"/>
        <w:jc w:val="right"/>
        <w:rPr>
          <w:rFonts w:ascii="Times New Roman" w:eastAsia="宋体" w:hAnsi="Times New Roman" w:cs="Times New Roman"/>
          <w:color w:val="000000" w:themeColor="text1"/>
          <w:sz w:val="18"/>
        </w:rPr>
      </w:pPr>
      <w:r w:rsidRPr="00A214B0">
        <w:rPr>
          <w:rFonts w:ascii="Times New Roman" w:eastAsia="宋体" w:hAnsi="Times New Roman" w:cs="Times New Roman"/>
          <w:color w:val="000000" w:themeColor="text1"/>
          <w:sz w:val="18"/>
        </w:rPr>
        <w:t>金额单位：人民币万元</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1633"/>
        <w:gridCol w:w="1633"/>
        <w:gridCol w:w="1633"/>
        <w:gridCol w:w="1633"/>
      </w:tblGrid>
      <w:tr w:rsidR="00D56508" w:rsidRPr="00A214B0">
        <w:trPr>
          <w:trHeight w:val="360"/>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项目</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基准日前三年</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基准日前两年</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基准日前一年</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w:t>
            </w:r>
          </w:p>
        </w:tc>
      </w:tr>
      <w:tr w:rsidR="00D56508" w:rsidRPr="00A214B0">
        <w:trPr>
          <w:trHeight w:val="360"/>
        </w:trPr>
        <w:tc>
          <w:tcPr>
            <w:tcW w:w="2545"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2016</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4</w:t>
            </w:r>
            <w:r w:rsidRPr="00A214B0">
              <w:rPr>
                <w:rFonts w:ascii="Times New Roman" w:eastAsia="宋体" w:hAnsi="Times New Roman" w:cs="Times New Roman"/>
                <w:b/>
                <w:bCs/>
                <w:color w:val="000000" w:themeColor="text1"/>
                <w:kern w:val="0"/>
                <w:sz w:val="20"/>
                <w:szCs w:val="20"/>
              </w:rPr>
              <w:t>月</w:t>
            </w:r>
            <w:r w:rsidRPr="00A214B0">
              <w:rPr>
                <w:rFonts w:ascii="Times New Roman" w:eastAsia="宋体" w:hAnsi="Times New Roman" w:cs="Times New Roman"/>
                <w:b/>
                <w:bCs/>
                <w:color w:val="000000" w:themeColor="text1"/>
                <w:kern w:val="0"/>
                <w:sz w:val="20"/>
                <w:szCs w:val="20"/>
              </w:rPr>
              <w:t>30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一、流动资产</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货币资金</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1,402.03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2,142.21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892.97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1,333.22</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应收票据</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637.85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1,121.83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845.80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563.04</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应收账款</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582.28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1,038.00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829.10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1,235.71</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预付款项</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54.63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41.05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176.29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53.11</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其他应收款</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75.41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23.65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46.39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34.95</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存货</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71.22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87.69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66.14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63.53</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其他流动资产</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9.28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1,847.42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416.51</w:t>
            </w:r>
          </w:p>
        </w:tc>
      </w:tr>
      <w:tr w:rsidR="00D56508" w:rsidRPr="00A214B0">
        <w:trPr>
          <w:trHeight w:val="255"/>
        </w:trPr>
        <w:tc>
          <w:tcPr>
            <w:tcW w:w="2545"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流动资产合计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2,823.42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4,463.71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4,704.11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3,700.07</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二、非流动资产</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w:t>
            </w:r>
            <w:r w:rsidRPr="00A214B0">
              <w:rPr>
                <w:rFonts w:ascii="Times New Roman" w:eastAsia="宋体" w:hAnsi="Times New Roman" w:cs="Times New Roman"/>
                <w:color w:val="000000" w:themeColor="text1"/>
                <w:kern w:val="0"/>
                <w:sz w:val="20"/>
                <w:szCs w:val="20"/>
              </w:rPr>
              <w:t>长期股权投资</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14.56</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14.80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14.72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14.64</w:t>
            </w:r>
          </w:p>
        </w:tc>
      </w:tr>
      <w:tr w:rsidR="00D56508" w:rsidRPr="00A214B0">
        <w:trPr>
          <w:trHeight w:val="255"/>
        </w:trPr>
        <w:tc>
          <w:tcPr>
            <w:tcW w:w="2545" w:type="dxa"/>
            <w:shd w:val="clear" w:color="auto" w:fill="auto"/>
            <w:noWrap/>
            <w:vAlign w:val="center"/>
          </w:tcPr>
          <w:p w:rsidR="00D56508" w:rsidRPr="00A214B0" w:rsidRDefault="00F1265B">
            <w:pPr>
              <w:widowControl/>
              <w:ind w:firstLineChars="100" w:firstLine="200"/>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固定资产净值</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42,096.99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39,878.24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37,422.74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36,837.08</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w:t>
            </w:r>
            <w:r w:rsidRPr="00A214B0">
              <w:rPr>
                <w:rFonts w:ascii="Times New Roman" w:eastAsia="宋体" w:hAnsi="Times New Roman" w:cs="Times New Roman"/>
                <w:color w:val="000000" w:themeColor="text1"/>
                <w:kern w:val="0"/>
                <w:sz w:val="20"/>
                <w:szCs w:val="20"/>
              </w:rPr>
              <w:t>在建工程</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93.49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97.87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437.29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826.54</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w:t>
            </w:r>
            <w:r w:rsidRPr="00A214B0">
              <w:rPr>
                <w:rFonts w:ascii="Times New Roman" w:eastAsia="宋体" w:hAnsi="Times New Roman" w:cs="Times New Roman"/>
                <w:color w:val="000000" w:themeColor="text1"/>
                <w:kern w:val="0"/>
                <w:sz w:val="20"/>
                <w:szCs w:val="20"/>
              </w:rPr>
              <w:t>无形资产</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2,187.33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2,135.59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2,085.11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2,067.71</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w:t>
            </w:r>
            <w:r w:rsidRPr="00A214B0">
              <w:rPr>
                <w:rFonts w:ascii="Times New Roman" w:eastAsia="宋体" w:hAnsi="Times New Roman" w:cs="Times New Roman"/>
                <w:color w:val="000000" w:themeColor="text1"/>
                <w:kern w:val="0"/>
                <w:sz w:val="20"/>
                <w:szCs w:val="20"/>
              </w:rPr>
              <w:t>长期待摊费用合计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90.20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59.87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134.56</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186.62</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w:t>
            </w:r>
            <w:r w:rsidRPr="00A214B0">
              <w:rPr>
                <w:rFonts w:ascii="Times New Roman" w:eastAsia="宋体" w:hAnsi="Times New Roman" w:cs="Times New Roman"/>
                <w:color w:val="000000" w:themeColor="text1"/>
                <w:kern w:val="0"/>
                <w:sz w:val="20"/>
                <w:szCs w:val="20"/>
              </w:rPr>
              <w:t>递延所得税资产</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26.09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37.69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36.21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216.50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17.</w:t>
            </w:r>
            <w:r w:rsidRPr="00A214B0">
              <w:rPr>
                <w:rFonts w:ascii="Times New Roman" w:eastAsia="宋体" w:hAnsi="Times New Roman" w:cs="Times New Roman"/>
                <w:color w:val="000000" w:themeColor="text1"/>
                <w:kern w:val="0"/>
                <w:sz w:val="20"/>
                <w:szCs w:val="20"/>
              </w:rPr>
              <w:t>其他非流动资产</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528.28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518.61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510.00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500.00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非流动资产合计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45,036.94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42,742.67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40,640.63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40,649.09</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三、资产总计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47,860.36</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47,206.38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45,344.74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44,349.16</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四、流动负债</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短期借款</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630.00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5,750.00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应付账款</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571.54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500.61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473.24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506.28</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预收款项</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5.42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7.22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108.14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142.06</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应付职工薪酬</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78.53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190.80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147.82</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151.88</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应交税费</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-89.23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108.04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213.84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59.08</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应付利息</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40.30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38.93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10.53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815.55</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应付股利</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2,227.03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2,227.03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3,084.83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3,084.83</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其他应付款</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9,099.78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9,647.90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9,661.98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8,193.83</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一年内到期的非流动负债</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3856.97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3,842.11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6,950.00</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流动负债合计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15,790.34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16,562.64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21,280.38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18,703.51</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五、非流动负债</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长期借款</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9,778.96</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6,950.00</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递延收益</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83.33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109.00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103.00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101.00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非流动负债合计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9,862.29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7,059.00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103.00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101.00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六、负债合计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25,652.63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23,621.64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21,383.38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18,804.51</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七、股东权益</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实收资本（或股本）</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20,000.00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20,000.00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20,000.00</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20,000.00</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资本公积</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1,626.45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1,626.45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1,626.45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1,626.45</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减：库存股</w:t>
            </w: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633"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盈余公积</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498.14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630.99</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780.73</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935.19</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未分配利润</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81.88</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1,327.31</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1,554.17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2,976.88</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1.27</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6.13</w:t>
            </w:r>
          </w:p>
        </w:tc>
      </w:tr>
      <w:tr w:rsidR="00D56508" w:rsidRPr="00A214B0">
        <w:trPr>
          <w:trHeight w:val="255"/>
        </w:trPr>
        <w:tc>
          <w:tcPr>
            <w:tcW w:w="254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股东权益合计</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22,207.74</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23,584.75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23,961.35</w:t>
            </w:r>
          </w:p>
        </w:tc>
        <w:tc>
          <w:tcPr>
            <w:tcW w:w="1633"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25,544.65</w:t>
            </w:r>
          </w:p>
        </w:tc>
      </w:tr>
    </w:tbl>
    <w:p w:rsidR="00D56508" w:rsidRPr="00A214B0" w:rsidRDefault="00D56508">
      <w:pPr>
        <w:spacing w:before="1"/>
        <w:ind w:right="493"/>
        <w:jc w:val="right"/>
        <w:rPr>
          <w:rFonts w:ascii="Times New Roman" w:eastAsia="宋体" w:hAnsi="Times New Roman" w:cs="Times New Roman"/>
          <w:color w:val="000000" w:themeColor="text1"/>
          <w:sz w:val="18"/>
        </w:rPr>
      </w:pPr>
    </w:p>
    <w:p w:rsidR="00D56508" w:rsidRPr="00A214B0" w:rsidRDefault="00F1265B">
      <w:pPr>
        <w:snapToGrid w:val="0"/>
        <w:spacing w:line="360" w:lineRule="auto"/>
        <w:ind w:firstLineChars="300" w:firstLine="723"/>
        <w:jc w:val="center"/>
        <w:rPr>
          <w:rFonts w:ascii="Times New Roman" w:eastAsia="宋体" w:hAnsi="Times New Roman" w:cs="Times New Roman"/>
          <w:b/>
          <w:color w:val="000000" w:themeColor="text1"/>
          <w:sz w:val="24"/>
        </w:rPr>
      </w:pPr>
      <w:r w:rsidRPr="00A214B0">
        <w:rPr>
          <w:rFonts w:ascii="Times New Roman" w:eastAsia="宋体" w:hAnsi="Times New Roman" w:cs="Times New Roman"/>
          <w:b/>
          <w:color w:val="000000" w:themeColor="text1"/>
          <w:sz w:val="24"/>
        </w:rPr>
        <w:t>合并利润表</w:t>
      </w:r>
    </w:p>
    <w:p w:rsidR="00D56508" w:rsidRPr="00A214B0" w:rsidRDefault="00F1265B">
      <w:pPr>
        <w:spacing w:before="75"/>
        <w:ind w:right="493"/>
        <w:jc w:val="right"/>
        <w:rPr>
          <w:rFonts w:ascii="Times New Roman" w:eastAsia="宋体" w:hAnsi="Times New Roman" w:cs="Times New Roman"/>
          <w:color w:val="000000" w:themeColor="text1"/>
          <w:sz w:val="18"/>
        </w:rPr>
      </w:pPr>
      <w:r w:rsidRPr="00A214B0">
        <w:rPr>
          <w:rFonts w:ascii="Times New Roman" w:eastAsia="宋体" w:hAnsi="Times New Roman" w:cs="Times New Roman"/>
          <w:color w:val="000000" w:themeColor="text1"/>
          <w:sz w:val="18"/>
        </w:rPr>
        <w:t>金额单位：人民币万元</w:t>
      </w:r>
    </w:p>
    <w:tbl>
      <w:tblPr>
        <w:tblW w:w="86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62"/>
        <w:gridCol w:w="1462"/>
        <w:gridCol w:w="1462"/>
        <w:gridCol w:w="1462"/>
      </w:tblGrid>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bookmarkStart w:id="113" w:name="收益法评估技术说明"/>
            <w:bookmarkStart w:id="114" w:name="_bookmark23"/>
            <w:bookmarkEnd w:id="113"/>
            <w:bookmarkEnd w:id="114"/>
            <w:r w:rsidRPr="00A214B0">
              <w:rPr>
                <w:rFonts w:ascii="Times New Roman" w:eastAsia="宋体" w:hAnsi="Times New Roman" w:cs="Times New Roman"/>
                <w:b/>
                <w:bCs/>
                <w:color w:val="000000" w:themeColor="text1"/>
                <w:kern w:val="0"/>
                <w:sz w:val="20"/>
                <w:szCs w:val="20"/>
              </w:rPr>
              <w:t>项</w:t>
            </w:r>
            <w:r w:rsidRPr="00A214B0">
              <w:rPr>
                <w:rFonts w:ascii="Times New Roman" w:eastAsia="宋体" w:hAnsi="Times New Roman" w:cs="Times New Roman"/>
                <w:b/>
                <w:bCs/>
                <w:color w:val="000000" w:themeColor="text1"/>
                <w:kern w:val="0"/>
                <w:sz w:val="20"/>
                <w:szCs w:val="20"/>
              </w:rPr>
              <w:t xml:space="preserve">    </w:t>
            </w:r>
            <w:r w:rsidRPr="00A214B0">
              <w:rPr>
                <w:rFonts w:ascii="Times New Roman" w:eastAsia="宋体" w:hAnsi="Times New Roman" w:cs="Times New Roman"/>
                <w:b/>
                <w:bCs/>
                <w:color w:val="000000" w:themeColor="text1"/>
                <w:kern w:val="0"/>
                <w:sz w:val="20"/>
                <w:szCs w:val="20"/>
              </w:rPr>
              <w:t>目</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基准日前三年</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基准日前两年</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基准日前一年</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基准日</w:t>
            </w:r>
          </w:p>
        </w:tc>
      </w:tr>
      <w:tr w:rsidR="00D56508" w:rsidRPr="00A214B0">
        <w:trPr>
          <w:trHeight w:val="420"/>
        </w:trPr>
        <w:tc>
          <w:tcPr>
            <w:tcW w:w="2802"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2016</w:t>
            </w:r>
            <w:r w:rsidRPr="00A214B0">
              <w:rPr>
                <w:rFonts w:ascii="Times New Roman" w:eastAsia="宋体" w:hAnsi="Times New Roman" w:cs="Times New Roman"/>
                <w:b/>
                <w:bCs/>
                <w:color w:val="000000" w:themeColor="text1"/>
                <w:kern w:val="0"/>
                <w:sz w:val="20"/>
                <w:szCs w:val="20"/>
              </w:rPr>
              <w:t>年</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2017</w:t>
            </w:r>
            <w:r w:rsidRPr="00A214B0">
              <w:rPr>
                <w:rFonts w:ascii="Times New Roman" w:eastAsia="宋体" w:hAnsi="Times New Roman" w:cs="Times New Roman"/>
                <w:b/>
                <w:bCs/>
                <w:color w:val="000000" w:themeColor="text1"/>
                <w:kern w:val="0"/>
                <w:sz w:val="20"/>
                <w:szCs w:val="20"/>
              </w:rPr>
              <w:t>年</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2018</w:t>
            </w:r>
            <w:r w:rsidRPr="00A214B0">
              <w:rPr>
                <w:rFonts w:ascii="Times New Roman" w:eastAsia="宋体" w:hAnsi="Times New Roman" w:cs="Times New Roman"/>
                <w:b/>
                <w:bCs/>
                <w:color w:val="000000" w:themeColor="text1"/>
                <w:kern w:val="0"/>
                <w:sz w:val="20"/>
                <w:szCs w:val="20"/>
              </w:rPr>
              <w:t>年</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1-4</w:t>
            </w:r>
            <w:r w:rsidRPr="00A214B0">
              <w:rPr>
                <w:rFonts w:ascii="Times New Roman" w:eastAsia="宋体" w:hAnsi="Times New Roman" w:cs="Times New Roman"/>
                <w:b/>
                <w:bCs/>
                <w:color w:val="000000" w:themeColor="text1"/>
                <w:kern w:val="0"/>
                <w:sz w:val="20"/>
                <w:szCs w:val="20"/>
              </w:rPr>
              <w:t>月</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一、营业收入</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6,593.54</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8,379.06</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8,951.00</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4,092.90</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主营业务收入</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6,593.54</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8,379.06</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8,951.00</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4,092.90</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其他业务收入</w:t>
            </w: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减：（一）营业成本</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3,499.82</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3,769.33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3,530.23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1,245.41</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主营业务成本</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3,499.82</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3,769.33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3,530.23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1,245.41</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其他业务成本</w:t>
            </w: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420"/>
        </w:trPr>
        <w:tc>
          <w:tcPr>
            <w:tcW w:w="2802" w:type="dxa"/>
            <w:shd w:val="clear" w:color="auto" w:fill="auto"/>
            <w:noWrap/>
            <w:vAlign w:val="center"/>
          </w:tcPr>
          <w:p w:rsidR="00D56508" w:rsidRPr="00A214B0" w:rsidRDefault="00F1265B">
            <w:pPr>
              <w:widowControl/>
              <w:ind w:firstLineChars="100" w:firstLine="201"/>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（二）营业税金及附加</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45.45</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94.23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129.63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34.55</w:t>
            </w:r>
          </w:p>
        </w:tc>
      </w:tr>
      <w:tr w:rsidR="00D56508" w:rsidRPr="00A214B0">
        <w:trPr>
          <w:trHeight w:val="420"/>
        </w:trPr>
        <w:tc>
          <w:tcPr>
            <w:tcW w:w="2802" w:type="dxa"/>
            <w:shd w:val="clear" w:color="auto" w:fill="auto"/>
            <w:noWrap/>
            <w:vAlign w:val="center"/>
          </w:tcPr>
          <w:p w:rsidR="00D56508" w:rsidRPr="00A214B0" w:rsidRDefault="00F1265B">
            <w:pPr>
              <w:widowControl/>
              <w:ind w:firstLineChars="100" w:firstLine="201"/>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（三）营业费用</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169.55</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201.36</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223.92</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73.37</w:t>
            </w:r>
          </w:p>
        </w:tc>
      </w:tr>
      <w:tr w:rsidR="00D56508" w:rsidRPr="00A214B0">
        <w:trPr>
          <w:trHeight w:val="420"/>
        </w:trPr>
        <w:tc>
          <w:tcPr>
            <w:tcW w:w="2802" w:type="dxa"/>
            <w:shd w:val="clear" w:color="auto" w:fill="auto"/>
            <w:noWrap/>
            <w:vAlign w:val="center"/>
          </w:tcPr>
          <w:p w:rsidR="00D56508" w:rsidRPr="00A214B0" w:rsidRDefault="00F1265B">
            <w:pPr>
              <w:widowControl/>
              <w:ind w:firstLineChars="100" w:firstLine="201"/>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（四）管理费用</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1,619.48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1,598.27</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1,685.41</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636.69</w:t>
            </w:r>
          </w:p>
        </w:tc>
      </w:tr>
      <w:tr w:rsidR="00D56508" w:rsidRPr="00A214B0">
        <w:trPr>
          <w:trHeight w:val="420"/>
        </w:trPr>
        <w:tc>
          <w:tcPr>
            <w:tcW w:w="2802" w:type="dxa"/>
            <w:shd w:val="clear" w:color="auto" w:fill="auto"/>
            <w:noWrap/>
            <w:vAlign w:val="center"/>
          </w:tcPr>
          <w:p w:rsidR="00D56508" w:rsidRPr="00A214B0" w:rsidRDefault="00F1265B">
            <w:pPr>
              <w:widowControl/>
              <w:ind w:firstLineChars="100" w:firstLine="201"/>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（五）财务费用</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1,312.12</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1,011.31</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1,223.77</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664.36</w:t>
            </w:r>
          </w:p>
        </w:tc>
      </w:tr>
      <w:tr w:rsidR="00D56508" w:rsidRPr="00A214B0">
        <w:trPr>
          <w:trHeight w:val="420"/>
        </w:trPr>
        <w:tc>
          <w:tcPr>
            <w:tcW w:w="2802" w:type="dxa"/>
            <w:shd w:val="clear" w:color="auto" w:fill="auto"/>
            <w:noWrap/>
            <w:vAlign w:val="center"/>
          </w:tcPr>
          <w:p w:rsidR="00D56508" w:rsidRPr="00A214B0" w:rsidRDefault="00F1265B">
            <w:pPr>
              <w:widowControl/>
              <w:ind w:firstLineChars="100" w:firstLine="201"/>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（六）资产减值损失</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-1.41</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20.71</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0.08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6.43</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加：（七）公允价值变动收益</w:t>
            </w: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（八）投资收益等</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0.49</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0.24</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-0.08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45.36</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二、营业利润</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-50.98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1,684.09</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2,157.88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1,477.43</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加：（一）补贴收入</w:t>
            </w: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462"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（二）营业外收入</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281.78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96.60</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174.74</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18.42</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减：营业外支出</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154.52</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37.54</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29.80</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19.80</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三、利润总额</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76.28</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1,743.15</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2,302.82</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1,476.05</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减：所得税费用</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-5.95</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364.86</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680.79</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-101.13</w:t>
            </w:r>
          </w:p>
        </w:tc>
      </w:tr>
      <w:tr w:rsidR="00D56508" w:rsidRPr="00A214B0">
        <w:trPr>
          <w:trHeight w:val="420"/>
        </w:trPr>
        <w:tc>
          <w:tcPr>
            <w:tcW w:w="28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四、净利润</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82.23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1,378.29</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1,622.03</w:t>
            </w:r>
          </w:p>
        </w:tc>
        <w:tc>
          <w:tcPr>
            <w:tcW w:w="146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1,577.17</w:t>
            </w:r>
          </w:p>
        </w:tc>
      </w:tr>
    </w:tbl>
    <w:p w:rsidR="00D56508" w:rsidRPr="00A214B0" w:rsidRDefault="00F1265B">
      <w:pPr>
        <w:pStyle w:val="aa"/>
        <w:adjustRightInd w:val="0"/>
        <w:snapToGrid w:val="0"/>
        <w:spacing w:beforeLines="50" w:before="250" w:line="360" w:lineRule="auto"/>
        <w:ind w:firstLineChars="200" w:firstLine="480"/>
        <w:rPr>
          <w:color w:val="000000" w:themeColor="text1"/>
          <w:sz w:val="24"/>
          <w:szCs w:val="24"/>
        </w:rPr>
      </w:pPr>
      <w:r w:rsidRPr="00A214B0">
        <w:rPr>
          <w:color w:val="000000" w:themeColor="text1"/>
          <w:sz w:val="24"/>
          <w:szCs w:val="24"/>
        </w:rPr>
        <w:t>上述</w:t>
      </w:r>
      <w:r w:rsidRPr="00A214B0">
        <w:rPr>
          <w:color w:val="000000" w:themeColor="text1"/>
          <w:sz w:val="24"/>
          <w:szCs w:val="24"/>
        </w:rPr>
        <w:t>2016</w:t>
      </w:r>
      <w:r w:rsidRPr="00A214B0">
        <w:rPr>
          <w:color w:val="000000" w:themeColor="text1"/>
          <w:sz w:val="24"/>
          <w:szCs w:val="24"/>
        </w:rPr>
        <w:t>、</w:t>
      </w:r>
      <w:r w:rsidRPr="00A214B0">
        <w:rPr>
          <w:color w:val="000000" w:themeColor="text1"/>
          <w:sz w:val="24"/>
          <w:szCs w:val="24"/>
        </w:rPr>
        <w:t>2017</w:t>
      </w:r>
      <w:r w:rsidRPr="00A214B0">
        <w:rPr>
          <w:color w:val="000000" w:themeColor="text1"/>
          <w:sz w:val="24"/>
          <w:szCs w:val="24"/>
        </w:rPr>
        <w:t>财务数据摘自天衡会计师事务所（特殊普通合伙）所出具的天衡审字（</w:t>
      </w:r>
      <w:r w:rsidRPr="00A214B0">
        <w:rPr>
          <w:color w:val="000000" w:themeColor="text1"/>
          <w:sz w:val="24"/>
          <w:szCs w:val="24"/>
        </w:rPr>
        <w:t>2017</w:t>
      </w:r>
      <w:r w:rsidRPr="00A214B0">
        <w:rPr>
          <w:color w:val="000000" w:themeColor="text1"/>
          <w:sz w:val="24"/>
          <w:szCs w:val="24"/>
        </w:rPr>
        <w:t>）</w:t>
      </w:r>
      <w:r w:rsidRPr="00A214B0">
        <w:rPr>
          <w:color w:val="000000" w:themeColor="text1"/>
          <w:sz w:val="24"/>
          <w:szCs w:val="24"/>
        </w:rPr>
        <w:t>00346</w:t>
      </w:r>
      <w:r w:rsidRPr="00A214B0">
        <w:rPr>
          <w:color w:val="000000" w:themeColor="text1"/>
          <w:sz w:val="24"/>
          <w:szCs w:val="24"/>
        </w:rPr>
        <w:t>号、天衡审字（</w:t>
      </w:r>
      <w:r w:rsidRPr="00A214B0">
        <w:rPr>
          <w:color w:val="000000" w:themeColor="text1"/>
          <w:sz w:val="24"/>
          <w:szCs w:val="24"/>
        </w:rPr>
        <w:t>2018</w:t>
      </w:r>
      <w:r w:rsidRPr="00A214B0">
        <w:rPr>
          <w:color w:val="000000" w:themeColor="text1"/>
          <w:sz w:val="24"/>
          <w:szCs w:val="24"/>
        </w:rPr>
        <w:t>）</w:t>
      </w:r>
      <w:r w:rsidRPr="00A214B0">
        <w:rPr>
          <w:color w:val="000000" w:themeColor="text1"/>
          <w:sz w:val="24"/>
          <w:szCs w:val="24"/>
        </w:rPr>
        <w:t>00103</w:t>
      </w:r>
      <w:r w:rsidRPr="00A214B0">
        <w:rPr>
          <w:color w:val="000000" w:themeColor="text1"/>
          <w:sz w:val="24"/>
          <w:szCs w:val="24"/>
        </w:rPr>
        <w:t>号无保留意见审计报告，</w:t>
      </w:r>
      <w:r w:rsidRPr="00A214B0">
        <w:rPr>
          <w:color w:val="000000" w:themeColor="text1"/>
          <w:sz w:val="24"/>
          <w:szCs w:val="24"/>
        </w:rPr>
        <w:t>2018</w:t>
      </w:r>
      <w:r w:rsidRPr="00A214B0">
        <w:rPr>
          <w:color w:val="000000" w:themeColor="text1"/>
          <w:sz w:val="24"/>
          <w:szCs w:val="24"/>
        </w:rPr>
        <w:t>年度及基准日财务数据摘自天衡会计师事务所（特殊普通合伙）所出具的（天衡审字（</w:t>
      </w:r>
      <w:r w:rsidRPr="00A214B0">
        <w:rPr>
          <w:color w:val="000000" w:themeColor="text1"/>
          <w:sz w:val="24"/>
          <w:szCs w:val="24"/>
        </w:rPr>
        <w:t>2019</w:t>
      </w:r>
      <w:r w:rsidRPr="00A214B0">
        <w:rPr>
          <w:color w:val="000000" w:themeColor="text1"/>
          <w:sz w:val="24"/>
          <w:szCs w:val="24"/>
        </w:rPr>
        <w:t>）</w:t>
      </w:r>
      <w:r w:rsidRPr="00A214B0">
        <w:rPr>
          <w:color w:val="000000" w:themeColor="text1"/>
          <w:sz w:val="24"/>
          <w:szCs w:val="24"/>
        </w:rPr>
        <w:t>02296</w:t>
      </w:r>
      <w:r w:rsidRPr="00A214B0">
        <w:rPr>
          <w:color w:val="000000" w:themeColor="text1"/>
          <w:sz w:val="24"/>
          <w:szCs w:val="24"/>
        </w:rPr>
        <w:t>号）无保留意见审计报告。</w:t>
      </w:r>
    </w:p>
    <w:p w:rsidR="00D56508" w:rsidRPr="00A214B0" w:rsidRDefault="00F1265B">
      <w:pPr>
        <w:pStyle w:val="aa"/>
        <w:adjustRightInd w:val="0"/>
        <w:snapToGrid w:val="0"/>
        <w:spacing w:beforeLines="50" w:before="250" w:line="360" w:lineRule="auto"/>
        <w:ind w:firstLineChars="200" w:firstLine="480"/>
        <w:rPr>
          <w:color w:val="000000" w:themeColor="text1"/>
          <w:kern w:val="2"/>
          <w:sz w:val="24"/>
        </w:rPr>
      </w:pPr>
      <w:r w:rsidRPr="00A214B0">
        <w:rPr>
          <w:color w:val="000000" w:themeColor="text1"/>
          <w:kern w:val="2"/>
          <w:sz w:val="24"/>
        </w:rPr>
        <w:t>（三）未来收益的确定</w:t>
      </w:r>
    </w:p>
    <w:p w:rsidR="00D56508" w:rsidRPr="00A214B0" w:rsidRDefault="00F1265B">
      <w:pPr>
        <w:pStyle w:val="aa"/>
        <w:adjustRightInd w:val="0"/>
        <w:snapToGrid w:val="0"/>
        <w:spacing w:line="360" w:lineRule="auto"/>
        <w:ind w:firstLineChars="200" w:firstLine="480"/>
        <w:rPr>
          <w:color w:val="000000" w:themeColor="text1"/>
          <w:kern w:val="2"/>
          <w:sz w:val="24"/>
        </w:rPr>
      </w:pPr>
      <w:r w:rsidRPr="00A214B0">
        <w:rPr>
          <w:color w:val="000000" w:themeColor="text1"/>
          <w:kern w:val="2"/>
          <w:sz w:val="24"/>
        </w:rPr>
        <w:t>（</w:t>
      </w:r>
      <w:r w:rsidRPr="00A214B0">
        <w:rPr>
          <w:color w:val="000000" w:themeColor="text1"/>
          <w:kern w:val="2"/>
          <w:sz w:val="24"/>
        </w:rPr>
        <w:t>1</w:t>
      </w:r>
      <w:r w:rsidRPr="00A214B0">
        <w:rPr>
          <w:color w:val="000000" w:themeColor="text1"/>
          <w:kern w:val="2"/>
          <w:sz w:val="24"/>
        </w:rPr>
        <w:t>）收入的预测。</w:t>
      </w:r>
    </w:p>
    <w:p w:rsidR="00D56508" w:rsidRPr="00A214B0" w:rsidRDefault="00F1265B">
      <w:pPr>
        <w:pStyle w:val="aa"/>
        <w:adjustRightInd w:val="0"/>
        <w:snapToGrid w:val="0"/>
        <w:spacing w:line="360" w:lineRule="auto"/>
        <w:ind w:firstLineChars="200" w:firstLine="480"/>
        <w:rPr>
          <w:color w:val="000000" w:themeColor="text1"/>
          <w:kern w:val="2"/>
          <w:sz w:val="24"/>
        </w:rPr>
      </w:pPr>
      <w:r w:rsidRPr="00A214B0">
        <w:rPr>
          <w:color w:val="000000" w:themeColor="text1"/>
          <w:kern w:val="2"/>
          <w:sz w:val="24"/>
        </w:rPr>
        <w:t xml:space="preserve">  </w:t>
      </w:r>
      <w:r w:rsidRPr="00A214B0">
        <w:rPr>
          <w:color w:val="000000" w:themeColor="text1"/>
          <w:kern w:val="2"/>
          <w:sz w:val="24"/>
        </w:rPr>
        <w:t>海企仓储的仓储</w:t>
      </w:r>
      <w:r w:rsidRPr="00A214B0">
        <w:rPr>
          <w:rFonts w:hint="eastAsia"/>
          <w:color w:val="000000" w:themeColor="text1"/>
          <w:kern w:val="2"/>
          <w:sz w:val="24"/>
        </w:rPr>
        <w:t>形式</w:t>
      </w:r>
      <w:r w:rsidRPr="00A214B0">
        <w:rPr>
          <w:color w:val="000000" w:themeColor="text1"/>
          <w:kern w:val="2"/>
          <w:sz w:val="24"/>
        </w:rPr>
        <w:t>主要有两种，一种是包罐，一种是临租</w:t>
      </w:r>
      <w:r w:rsidRPr="00A214B0">
        <w:rPr>
          <w:rFonts w:hint="eastAsia"/>
          <w:color w:val="000000" w:themeColor="text1"/>
          <w:kern w:val="2"/>
          <w:sz w:val="24"/>
        </w:rPr>
        <w:t>，</w:t>
      </w:r>
      <w:r w:rsidRPr="00A214B0">
        <w:rPr>
          <w:rFonts w:hint="eastAsia"/>
          <w:color w:val="000000" w:themeColor="text1"/>
          <w:kern w:val="2"/>
          <w:sz w:val="24"/>
        </w:rPr>
        <w:t>2017</w:t>
      </w:r>
      <w:r w:rsidRPr="00A214B0">
        <w:rPr>
          <w:rFonts w:hint="eastAsia"/>
          <w:color w:val="000000" w:themeColor="text1"/>
          <w:kern w:val="2"/>
          <w:sz w:val="24"/>
        </w:rPr>
        <w:t>年及</w:t>
      </w:r>
      <w:r w:rsidRPr="00A214B0">
        <w:rPr>
          <w:rFonts w:hint="eastAsia"/>
          <w:color w:val="000000" w:themeColor="text1"/>
          <w:kern w:val="2"/>
          <w:sz w:val="24"/>
        </w:rPr>
        <w:t>2018</w:t>
      </w:r>
      <w:r w:rsidRPr="00A214B0">
        <w:rPr>
          <w:rFonts w:hint="eastAsia"/>
          <w:color w:val="000000" w:themeColor="text1"/>
          <w:kern w:val="2"/>
          <w:sz w:val="24"/>
        </w:rPr>
        <w:t>年收入增长率分别为</w:t>
      </w:r>
      <w:r w:rsidRPr="00A214B0">
        <w:rPr>
          <w:rFonts w:hint="eastAsia"/>
          <w:color w:val="000000" w:themeColor="text1"/>
          <w:kern w:val="2"/>
          <w:sz w:val="24"/>
        </w:rPr>
        <w:t>27%</w:t>
      </w:r>
      <w:r w:rsidRPr="00A214B0">
        <w:rPr>
          <w:rFonts w:hint="eastAsia"/>
          <w:color w:val="000000" w:themeColor="text1"/>
          <w:kern w:val="2"/>
          <w:sz w:val="24"/>
        </w:rPr>
        <w:t>、</w:t>
      </w:r>
      <w:r w:rsidRPr="00A214B0">
        <w:rPr>
          <w:rFonts w:hint="eastAsia"/>
          <w:color w:val="000000" w:themeColor="text1"/>
          <w:kern w:val="2"/>
          <w:sz w:val="24"/>
        </w:rPr>
        <w:t>7%</w:t>
      </w:r>
      <w:r w:rsidRPr="00A214B0">
        <w:rPr>
          <w:rFonts w:hint="eastAsia"/>
          <w:color w:val="000000" w:themeColor="text1"/>
          <w:kern w:val="2"/>
          <w:sz w:val="24"/>
        </w:rPr>
        <w:t>，</w:t>
      </w:r>
      <w:r w:rsidRPr="00A214B0">
        <w:rPr>
          <w:rFonts w:hint="eastAsia"/>
          <w:color w:val="000000" w:themeColor="text1"/>
          <w:kern w:val="2"/>
          <w:sz w:val="24"/>
        </w:rPr>
        <w:t>2017</w:t>
      </w:r>
      <w:r w:rsidRPr="00A214B0">
        <w:rPr>
          <w:rFonts w:hint="eastAsia"/>
          <w:color w:val="000000" w:themeColor="text1"/>
          <w:kern w:val="2"/>
          <w:sz w:val="24"/>
        </w:rPr>
        <w:t>年收入存在较大增长的原因主要是增加了储罐数量，提高了仓储能力，但是</w:t>
      </w:r>
      <w:r w:rsidRPr="00A214B0">
        <w:rPr>
          <w:color w:val="000000" w:themeColor="text1"/>
          <w:kern w:val="2"/>
          <w:sz w:val="24"/>
        </w:rPr>
        <w:t>目前，海企仓储的储存量已经达到满负荷的</w:t>
      </w:r>
      <w:r w:rsidRPr="00A214B0">
        <w:rPr>
          <w:color w:val="000000" w:themeColor="text1"/>
          <w:kern w:val="2"/>
          <w:sz w:val="24"/>
        </w:rPr>
        <w:t>70%</w:t>
      </w:r>
      <w:r w:rsidRPr="00A214B0">
        <w:rPr>
          <w:color w:val="000000" w:themeColor="text1"/>
          <w:kern w:val="2"/>
          <w:sz w:val="24"/>
        </w:rPr>
        <w:t>左右，预计</w:t>
      </w:r>
      <w:r w:rsidRPr="00A214B0">
        <w:rPr>
          <w:color w:val="000000" w:themeColor="text1"/>
          <w:kern w:val="2"/>
          <w:sz w:val="24"/>
        </w:rPr>
        <w:t>2019</w:t>
      </w:r>
      <w:r w:rsidRPr="00A214B0">
        <w:rPr>
          <w:color w:val="000000" w:themeColor="text1"/>
          <w:kern w:val="2"/>
          <w:sz w:val="24"/>
        </w:rPr>
        <w:t>年保持小幅增长，</w:t>
      </w:r>
      <w:r w:rsidRPr="00A214B0">
        <w:rPr>
          <w:rFonts w:hint="eastAsia"/>
          <w:color w:val="000000" w:themeColor="text1"/>
          <w:kern w:val="2"/>
          <w:sz w:val="24"/>
        </w:rPr>
        <w:t>2</w:t>
      </w:r>
      <w:r w:rsidRPr="00A214B0">
        <w:rPr>
          <w:color w:val="000000" w:themeColor="text1"/>
          <w:kern w:val="2"/>
          <w:sz w:val="24"/>
        </w:rPr>
        <w:t>019</w:t>
      </w:r>
      <w:r w:rsidRPr="00A214B0">
        <w:rPr>
          <w:color w:val="000000" w:themeColor="text1"/>
          <w:kern w:val="2"/>
          <w:sz w:val="24"/>
        </w:rPr>
        <w:t>年化工行业将保持</w:t>
      </w:r>
      <w:r w:rsidRPr="00A214B0">
        <w:rPr>
          <w:color w:val="000000" w:themeColor="text1"/>
          <w:kern w:val="2"/>
          <w:sz w:val="24"/>
        </w:rPr>
        <w:t>10%</w:t>
      </w:r>
      <w:r w:rsidRPr="00A214B0">
        <w:rPr>
          <w:color w:val="000000" w:themeColor="text1"/>
          <w:kern w:val="2"/>
          <w:sz w:val="24"/>
        </w:rPr>
        <w:t>以上的复合增长</w:t>
      </w:r>
      <w:r w:rsidRPr="00A214B0">
        <w:rPr>
          <w:rFonts w:hint="eastAsia"/>
          <w:color w:val="000000" w:themeColor="text1"/>
          <w:kern w:val="2"/>
          <w:sz w:val="24"/>
        </w:rPr>
        <w:t>，因此</w:t>
      </w:r>
      <w:r w:rsidRPr="00A214B0">
        <w:rPr>
          <w:color w:val="000000" w:themeColor="text1"/>
          <w:kern w:val="2"/>
          <w:sz w:val="24"/>
        </w:rPr>
        <w:t>预测</w:t>
      </w:r>
      <w:r w:rsidRPr="00A214B0">
        <w:rPr>
          <w:rFonts w:hint="eastAsia"/>
          <w:color w:val="000000" w:themeColor="text1"/>
          <w:kern w:val="2"/>
          <w:sz w:val="24"/>
        </w:rPr>
        <w:t>海企仓储</w:t>
      </w:r>
      <w:r w:rsidRPr="00A214B0">
        <w:rPr>
          <w:color w:val="000000" w:themeColor="text1"/>
          <w:kern w:val="2"/>
          <w:sz w:val="24"/>
        </w:rPr>
        <w:t>2019</w:t>
      </w:r>
      <w:r w:rsidRPr="00A214B0">
        <w:rPr>
          <w:color w:val="000000" w:themeColor="text1"/>
          <w:kern w:val="2"/>
          <w:sz w:val="24"/>
        </w:rPr>
        <w:t>年仓储装卸收入增长率</w:t>
      </w:r>
      <w:r w:rsidRPr="00A214B0">
        <w:rPr>
          <w:rFonts w:hint="eastAsia"/>
          <w:color w:val="000000" w:themeColor="text1"/>
          <w:kern w:val="2"/>
          <w:sz w:val="24"/>
        </w:rPr>
        <w:t>为</w:t>
      </w:r>
      <w:r w:rsidRPr="00A214B0">
        <w:rPr>
          <w:color w:val="000000" w:themeColor="text1"/>
          <w:kern w:val="2"/>
          <w:sz w:val="24"/>
        </w:rPr>
        <w:t>10%</w:t>
      </w:r>
      <w:r w:rsidRPr="00A214B0">
        <w:rPr>
          <w:color w:val="000000" w:themeColor="text1"/>
          <w:kern w:val="2"/>
          <w:sz w:val="24"/>
        </w:rPr>
        <w:t>，未来年度随着负荷率进一步提升，收入将进一步放缓，预测如下。</w:t>
      </w:r>
    </w:p>
    <w:p w:rsidR="00D56508" w:rsidRPr="00A214B0" w:rsidRDefault="00F1265B">
      <w:pPr>
        <w:pStyle w:val="aa"/>
        <w:adjustRightInd w:val="0"/>
        <w:snapToGrid w:val="0"/>
        <w:spacing w:line="360" w:lineRule="auto"/>
        <w:rPr>
          <w:color w:val="000000" w:themeColor="text1"/>
          <w:kern w:val="2"/>
          <w:sz w:val="24"/>
        </w:rPr>
      </w:pPr>
      <w:r w:rsidRPr="00A214B0">
        <w:rPr>
          <w:color w:val="000000" w:themeColor="text1"/>
          <w:kern w:val="2"/>
          <w:sz w:val="24"/>
        </w:rPr>
        <w:t xml:space="preserve">                                                       </w:t>
      </w:r>
      <w:r w:rsidRPr="00A214B0">
        <w:rPr>
          <w:color w:val="000000" w:themeColor="text1"/>
          <w:kern w:val="2"/>
          <w:sz w:val="24"/>
        </w:rPr>
        <w:t>单位：万元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050"/>
        <w:gridCol w:w="1095"/>
        <w:gridCol w:w="1020"/>
        <w:gridCol w:w="1112"/>
        <w:gridCol w:w="1114"/>
        <w:gridCol w:w="1114"/>
        <w:gridCol w:w="1114"/>
      </w:tblGrid>
      <w:tr w:rsidR="00D56508" w:rsidRPr="00A214B0">
        <w:trPr>
          <w:trHeight w:val="540"/>
        </w:trPr>
        <w:tc>
          <w:tcPr>
            <w:tcW w:w="1278" w:type="dxa"/>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收入</w:t>
            </w:r>
          </w:p>
        </w:tc>
        <w:tc>
          <w:tcPr>
            <w:tcW w:w="1050"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09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020"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D56508" w:rsidRPr="00A214B0">
        <w:trPr>
          <w:trHeight w:val="300"/>
        </w:trPr>
        <w:tc>
          <w:tcPr>
            <w:tcW w:w="1278" w:type="dxa"/>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增长率</w:t>
            </w:r>
          </w:p>
        </w:tc>
        <w:tc>
          <w:tcPr>
            <w:tcW w:w="105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w:t>
            </w:r>
          </w:p>
        </w:tc>
        <w:tc>
          <w:tcPr>
            <w:tcW w:w="109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w:t>
            </w:r>
          </w:p>
        </w:tc>
        <w:tc>
          <w:tcPr>
            <w:tcW w:w="102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6%</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w:t>
            </w:r>
          </w:p>
        </w:tc>
        <w:tc>
          <w:tcPr>
            <w:tcW w:w="1114"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D56508" w:rsidRPr="00A214B0">
        <w:trPr>
          <w:trHeight w:val="300"/>
        </w:trPr>
        <w:tc>
          <w:tcPr>
            <w:tcW w:w="1278" w:type="dxa"/>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仓储</w:t>
            </w:r>
            <w:r w:rsidRPr="00A214B0">
              <w:rPr>
                <w:rFonts w:ascii="Times New Roman" w:eastAsia="宋体" w:hAnsi="Times New Roman" w:cs="Times New Roman" w:hint="eastAsia"/>
                <w:color w:val="000000" w:themeColor="text1"/>
                <w:kern w:val="0"/>
                <w:sz w:val="20"/>
                <w:szCs w:val="20"/>
              </w:rPr>
              <w:t>费</w:t>
            </w:r>
          </w:p>
        </w:tc>
        <w:tc>
          <w:tcPr>
            <w:tcW w:w="105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5,416.04</w:t>
            </w:r>
          </w:p>
        </w:tc>
        <w:tc>
          <w:tcPr>
            <w:tcW w:w="109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10,143.30</w:t>
            </w:r>
          </w:p>
        </w:tc>
        <w:tc>
          <w:tcPr>
            <w:tcW w:w="102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10,751.90</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11,289.49</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11,741.07</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12,093.30</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12,093.30</w:t>
            </w:r>
          </w:p>
        </w:tc>
      </w:tr>
      <w:tr w:rsidR="00D56508" w:rsidRPr="00A214B0">
        <w:trPr>
          <w:trHeight w:val="300"/>
        </w:trPr>
        <w:tc>
          <w:tcPr>
            <w:tcW w:w="1278" w:type="dxa"/>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其他收入</w:t>
            </w:r>
            <w:r w:rsidRPr="00A214B0">
              <w:rPr>
                <w:rFonts w:ascii="Times New Roman" w:eastAsia="宋体" w:hAnsi="Times New Roman" w:cs="Times New Roman" w:hint="eastAsia"/>
                <w:color w:val="000000" w:themeColor="text1"/>
                <w:kern w:val="0"/>
                <w:sz w:val="20"/>
                <w:szCs w:val="20"/>
              </w:rPr>
              <w:t>（</w:t>
            </w:r>
            <w:r w:rsidR="00BB1C56" w:rsidRPr="00A214B0">
              <w:rPr>
                <w:rFonts w:ascii="Times New Roman" w:eastAsia="宋体" w:hAnsi="Times New Roman" w:cs="Times New Roman" w:hint="eastAsia"/>
                <w:color w:val="000000" w:themeColor="text1"/>
                <w:kern w:val="0"/>
                <w:sz w:val="20"/>
                <w:szCs w:val="20"/>
              </w:rPr>
              <w:t>委托管理费</w:t>
            </w:r>
            <w:r w:rsidRPr="00A214B0">
              <w:rPr>
                <w:rFonts w:ascii="Times New Roman" w:eastAsia="宋体" w:hAnsi="Times New Roman" w:cs="Times New Roman" w:hint="eastAsia"/>
                <w:color w:val="000000" w:themeColor="text1"/>
                <w:kern w:val="0"/>
                <w:sz w:val="20"/>
                <w:szCs w:val="20"/>
              </w:rPr>
              <w:t>）</w:t>
            </w:r>
          </w:p>
        </w:tc>
        <w:tc>
          <w:tcPr>
            <w:tcW w:w="105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332.89</w:t>
            </w:r>
          </w:p>
        </w:tc>
        <w:tc>
          <w:tcPr>
            <w:tcW w:w="109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485.88</w:t>
            </w:r>
          </w:p>
        </w:tc>
        <w:tc>
          <w:tcPr>
            <w:tcW w:w="102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515.04</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540.79</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562.42</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579.29</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579.29</w:t>
            </w:r>
          </w:p>
        </w:tc>
      </w:tr>
      <w:tr w:rsidR="00D56508" w:rsidRPr="00A214B0">
        <w:trPr>
          <w:trHeight w:val="300"/>
        </w:trPr>
        <w:tc>
          <w:tcPr>
            <w:tcW w:w="1278" w:type="dxa"/>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hint="eastAsia"/>
                <w:color w:val="000000" w:themeColor="text1"/>
                <w:kern w:val="0"/>
                <w:sz w:val="20"/>
                <w:szCs w:val="20"/>
              </w:rPr>
              <w:t>合计</w:t>
            </w:r>
          </w:p>
        </w:tc>
        <w:tc>
          <w:tcPr>
            <w:tcW w:w="105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 5,748.94 </w:t>
            </w:r>
          </w:p>
        </w:tc>
        <w:tc>
          <w:tcPr>
            <w:tcW w:w="109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10,629.18 </w:t>
            </w:r>
          </w:p>
        </w:tc>
        <w:tc>
          <w:tcPr>
            <w:tcW w:w="1020"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11,266.93 </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11,830.28 </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12,303.49 </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12,672.60 </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 xml:space="preserve">12,672.60 </w:t>
            </w:r>
          </w:p>
        </w:tc>
      </w:tr>
    </w:tbl>
    <w:p w:rsidR="00D56508" w:rsidRPr="00A214B0" w:rsidRDefault="00F1265B">
      <w:pPr>
        <w:pStyle w:val="af7"/>
        <w:adjustRightInd w:val="0"/>
        <w:snapToGrid w:val="0"/>
        <w:spacing w:after="0" w:afterAutospacing="0" w:line="360" w:lineRule="auto"/>
        <w:ind w:firstLineChars="200" w:firstLine="480"/>
        <w:rPr>
          <w:rFonts w:ascii="Times New Roman" w:hAnsi="Times New Roman"/>
          <w:color w:val="000000" w:themeColor="text1"/>
        </w:rPr>
      </w:pPr>
      <w:r w:rsidRPr="00A214B0">
        <w:rPr>
          <w:rFonts w:ascii="Times New Roman" w:hAnsi="Times New Roman"/>
          <w:color w:val="000000" w:themeColor="text1"/>
        </w:rPr>
        <w:t>（</w:t>
      </w:r>
      <w:r w:rsidRPr="00A214B0">
        <w:rPr>
          <w:rFonts w:ascii="Times New Roman" w:hAnsi="Times New Roman"/>
          <w:color w:val="000000" w:themeColor="text1"/>
        </w:rPr>
        <w:t>2</w:t>
      </w:r>
      <w:r w:rsidRPr="00A214B0">
        <w:rPr>
          <w:rFonts w:ascii="Times New Roman" w:hAnsi="Times New Roman"/>
          <w:color w:val="000000" w:themeColor="text1"/>
        </w:rPr>
        <w:t>）成本预测</w:t>
      </w:r>
    </w:p>
    <w:p w:rsidR="00D56508" w:rsidRPr="00A214B0" w:rsidRDefault="00F1265B">
      <w:pPr>
        <w:pStyle w:val="af7"/>
        <w:adjustRightInd w:val="0"/>
        <w:snapToGrid w:val="0"/>
        <w:spacing w:before="0" w:beforeAutospacing="0" w:after="0" w:afterAutospacing="0" w:line="360" w:lineRule="auto"/>
        <w:ind w:firstLineChars="200" w:firstLine="480"/>
        <w:rPr>
          <w:rFonts w:ascii="Times New Roman" w:hAnsi="Times New Roman"/>
          <w:color w:val="000000" w:themeColor="text1"/>
        </w:rPr>
      </w:pPr>
      <w:r w:rsidRPr="00A214B0">
        <w:rPr>
          <w:rFonts w:ascii="Times New Roman" w:hAnsi="Times New Roman"/>
          <w:color w:val="000000" w:themeColor="text1"/>
        </w:rPr>
        <w:t>企业的历史年度的主营业务成本如下：</w:t>
      </w:r>
    </w:p>
    <w:p w:rsidR="00D56508" w:rsidRPr="00A214B0" w:rsidRDefault="00F1265B">
      <w:pPr>
        <w:pStyle w:val="af7"/>
        <w:adjustRightInd w:val="0"/>
        <w:snapToGrid w:val="0"/>
        <w:spacing w:before="0" w:beforeAutospacing="0" w:after="0" w:afterAutospacing="0" w:line="360" w:lineRule="auto"/>
        <w:ind w:firstLineChars="200" w:firstLine="360"/>
        <w:jc w:val="right"/>
        <w:rPr>
          <w:rFonts w:ascii="Times New Roman" w:hAnsi="Times New Roman"/>
          <w:color w:val="000000" w:themeColor="text1"/>
          <w:sz w:val="18"/>
          <w:szCs w:val="18"/>
        </w:rPr>
      </w:pPr>
      <w:r w:rsidRPr="00A214B0">
        <w:rPr>
          <w:rFonts w:ascii="Times New Roman" w:hAnsi="Times New Roman" w:hint="eastAsia"/>
          <w:color w:val="000000" w:themeColor="text1"/>
          <w:sz w:val="18"/>
          <w:szCs w:val="18"/>
        </w:rPr>
        <w:t>金额单位：人民币万元</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688"/>
        <w:gridCol w:w="1688"/>
        <w:gridCol w:w="1687"/>
        <w:gridCol w:w="1687"/>
      </w:tblGrid>
      <w:tr w:rsidR="00D56508" w:rsidRPr="00A214B0">
        <w:trPr>
          <w:trHeight w:val="5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内容</w:t>
            </w:r>
          </w:p>
        </w:tc>
        <w:tc>
          <w:tcPr>
            <w:tcW w:w="1688"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预测第一期</w:t>
            </w:r>
          </w:p>
        </w:tc>
        <w:tc>
          <w:tcPr>
            <w:tcW w:w="1688"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预测第一年</w:t>
            </w:r>
          </w:p>
        </w:tc>
        <w:tc>
          <w:tcPr>
            <w:tcW w:w="168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预测第二年</w:t>
            </w:r>
          </w:p>
        </w:tc>
        <w:tc>
          <w:tcPr>
            <w:tcW w:w="168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预测第三年</w:t>
            </w:r>
          </w:p>
        </w:tc>
      </w:tr>
      <w:tr w:rsidR="00D56508" w:rsidRPr="00A214B0">
        <w:trPr>
          <w:trHeight w:val="540"/>
        </w:trPr>
        <w:tc>
          <w:tcPr>
            <w:tcW w:w="2299"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20"/>
                <w:szCs w:val="20"/>
              </w:rPr>
            </w:pPr>
            <w:r w:rsidRPr="00A214B0">
              <w:rPr>
                <w:rFonts w:ascii="Arial Narrow" w:eastAsia="Arial Narrow" w:hAnsi="Arial Narrow" w:cs="Arial Narrow"/>
                <w:b/>
                <w:color w:val="000000" w:themeColor="text1"/>
                <w:kern w:val="0"/>
                <w:sz w:val="20"/>
                <w:szCs w:val="20"/>
                <w:lang w:bidi="ar"/>
              </w:rPr>
              <w:t>2016年</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20"/>
                <w:szCs w:val="20"/>
              </w:rPr>
            </w:pPr>
            <w:r w:rsidRPr="00A214B0">
              <w:rPr>
                <w:rFonts w:ascii="Arial Narrow" w:eastAsia="Arial Narrow" w:hAnsi="Arial Narrow" w:cs="Arial Narrow"/>
                <w:b/>
                <w:color w:val="000000" w:themeColor="text1"/>
                <w:kern w:val="0"/>
                <w:sz w:val="20"/>
                <w:szCs w:val="20"/>
                <w:lang w:bidi="ar"/>
              </w:rPr>
              <w:t>2017年</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20"/>
                <w:szCs w:val="20"/>
              </w:rPr>
            </w:pPr>
            <w:r w:rsidRPr="00A214B0">
              <w:rPr>
                <w:rFonts w:ascii="Arial Narrow" w:eastAsia="Arial Narrow" w:hAnsi="Arial Narrow" w:cs="Arial Narrow"/>
                <w:b/>
                <w:color w:val="000000" w:themeColor="text1"/>
                <w:kern w:val="0"/>
                <w:sz w:val="20"/>
                <w:szCs w:val="20"/>
                <w:lang w:bidi="ar"/>
              </w:rPr>
              <w:t>2018年</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20"/>
                <w:szCs w:val="20"/>
              </w:rPr>
            </w:pPr>
            <w:r w:rsidRPr="00A214B0">
              <w:rPr>
                <w:rFonts w:ascii="Arial Narrow" w:eastAsia="Arial Narrow" w:hAnsi="Arial Narrow" w:cs="Arial Narrow"/>
                <w:b/>
                <w:color w:val="000000" w:themeColor="text1"/>
                <w:kern w:val="0"/>
                <w:sz w:val="20"/>
                <w:szCs w:val="20"/>
                <w:lang w:bidi="ar"/>
              </w:rPr>
              <w:t>2019年1-4月</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工资</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250.61</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486.98</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346.36</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117.98</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社会保险费用</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39.12</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51.95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52.67</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13.97</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住房公积金</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8.84</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10.38</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9.65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2.55</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福利费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37.86</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33.37</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34.01</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13.94</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办公费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4.18</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10.23</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2.99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2.33</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汽油费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0.83</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5.80</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8.19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0.40</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日常修理费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0.01</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5.10</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2.63</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0.03</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低值易耗品</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31.77</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49.25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17.43</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1.46</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差旅费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1.66</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2.29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2.79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0.05</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租赁费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0.21</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折旧费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2,570.16</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2,531.66</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2,467.87</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848.14</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业务招待费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3.78</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12.25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12.21</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4.40</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会务费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1.50</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设备维修</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3.07</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0.20</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0.19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车辆费用</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19.64</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0.06</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3.96</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0.24</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运输费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13.30</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7.58</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13.41</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4.25</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水电费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0.15</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1.82</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0.27</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邮电费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183.76</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212.19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188.85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102.26</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环保支出费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4.68</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3.67</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聘请中介机构费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0.21</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0.09</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0.24</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0.10</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储罐制冷</w:t>
            </w:r>
            <w:r w:rsidRPr="00A214B0">
              <w:rPr>
                <w:rFonts w:ascii="Times New Roman" w:eastAsia="宋体" w:hAnsi="Times New Roman" w:cs="Times New Roman"/>
                <w:color w:val="000000" w:themeColor="text1"/>
                <w:kern w:val="0"/>
                <w:sz w:val="20"/>
                <w:szCs w:val="20"/>
              </w:rPr>
              <w:t>/</w:t>
            </w:r>
            <w:r w:rsidRPr="00A214B0">
              <w:rPr>
                <w:rFonts w:ascii="Times New Roman" w:eastAsia="宋体" w:hAnsi="Times New Roman" w:cs="Times New Roman"/>
                <w:color w:val="000000" w:themeColor="text1"/>
                <w:kern w:val="0"/>
                <w:sz w:val="20"/>
                <w:szCs w:val="20"/>
              </w:rPr>
              <w:t>制热费用</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9.48</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16.00</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15.75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0.70</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安全生产费</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25.33</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34.76</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34.87</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13.29</w:t>
            </w:r>
          </w:p>
        </w:tc>
      </w:tr>
      <w:tr w:rsidR="00D56508" w:rsidRPr="00A214B0">
        <w:trPr>
          <w:trHeight w:val="25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35.78</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97.45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106.95</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Arial Narrow" w:hAnsi="Times New Roman" w:cs="Times New Roman"/>
                <w:color w:val="000000" w:themeColor="text1"/>
                <w:kern w:val="0"/>
                <w:sz w:val="18"/>
                <w:szCs w:val="18"/>
                <w:lang w:bidi="ar"/>
              </w:rPr>
              <w:t>51.75</w:t>
            </w:r>
          </w:p>
        </w:tc>
      </w:tr>
      <w:tr w:rsidR="00D56508" w:rsidRPr="00A214B0">
        <w:trPr>
          <w:trHeight w:val="285"/>
        </w:trPr>
        <w:tc>
          <w:tcPr>
            <w:tcW w:w="2299"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总成本合计</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18"/>
                <w:szCs w:val="18"/>
              </w:rPr>
            </w:pPr>
            <w:r w:rsidRPr="00A214B0">
              <w:rPr>
                <w:rFonts w:ascii="Times New Roman" w:eastAsia="Arial Narrow" w:hAnsi="Times New Roman" w:cs="Times New Roman"/>
                <w:b/>
                <w:color w:val="000000" w:themeColor="text1"/>
                <w:kern w:val="0"/>
                <w:sz w:val="18"/>
                <w:szCs w:val="18"/>
                <w:lang w:bidi="ar"/>
              </w:rPr>
              <w:t>3,499.82</w:t>
            </w:r>
          </w:p>
        </w:tc>
        <w:tc>
          <w:tcPr>
            <w:tcW w:w="1688"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18"/>
                <w:szCs w:val="18"/>
              </w:rPr>
            </w:pPr>
            <w:r w:rsidRPr="00A214B0">
              <w:rPr>
                <w:rFonts w:ascii="Times New Roman" w:eastAsia="Arial Narrow" w:hAnsi="Times New Roman" w:cs="Times New Roman"/>
                <w:b/>
                <w:color w:val="000000" w:themeColor="text1"/>
                <w:kern w:val="0"/>
                <w:sz w:val="18"/>
                <w:szCs w:val="18"/>
                <w:lang w:bidi="ar"/>
              </w:rPr>
              <w:t>3,769.33</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18"/>
                <w:szCs w:val="18"/>
              </w:rPr>
            </w:pPr>
            <w:r w:rsidRPr="00A214B0">
              <w:rPr>
                <w:rFonts w:ascii="Times New Roman" w:eastAsia="Arial Narrow" w:hAnsi="Times New Roman" w:cs="Times New Roman"/>
                <w:b/>
                <w:color w:val="000000" w:themeColor="text1"/>
                <w:kern w:val="0"/>
                <w:sz w:val="18"/>
                <w:szCs w:val="18"/>
                <w:lang w:bidi="ar"/>
              </w:rPr>
              <w:t>3,530.23</w:t>
            </w:r>
          </w:p>
        </w:tc>
        <w:tc>
          <w:tcPr>
            <w:tcW w:w="1687" w:type="dxa"/>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b/>
                <w:bCs/>
                <w:color w:val="000000" w:themeColor="text1"/>
                <w:kern w:val="0"/>
                <w:sz w:val="18"/>
                <w:szCs w:val="18"/>
              </w:rPr>
            </w:pPr>
            <w:r w:rsidRPr="00A214B0">
              <w:rPr>
                <w:rFonts w:ascii="Times New Roman" w:eastAsia="Arial Narrow" w:hAnsi="Times New Roman" w:cs="Times New Roman"/>
                <w:b/>
                <w:color w:val="000000" w:themeColor="text1"/>
                <w:kern w:val="0"/>
                <w:sz w:val="18"/>
                <w:szCs w:val="18"/>
                <w:lang w:bidi="ar"/>
              </w:rPr>
              <w:t>1,245.41</w:t>
            </w:r>
          </w:p>
        </w:tc>
      </w:tr>
    </w:tbl>
    <w:p w:rsidR="00D56508" w:rsidRPr="00A214B0" w:rsidRDefault="00F1265B">
      <w:pPr>
        <w:pStyle w:val="af7"/>
        <w:adjustRightInd w:val="0"/>
        <w:snapToGrid w:val="0"/>
        <w:spacing w:beforeLines="50" w:before="250" w:beforeAutospacing="0" w:after="0" w:afterAutospacing="0" w:line="360" w:lineRule="auto"/>
        <w:ind w:firstLineChars="200" w:firstLine="480"/>
        <w:rPr>
          <w:rFonts w:ascii="Times New Roman" w:hAnsi="Times New Roman"/>
          <w:color w:val="000000" w:themeColor="text1"/>
        </w:rPr>
      </w:pPr>
      <w:r w:rsidRPr="00A214B0">
        <w:rPr>
          <w:rFonts w:ascii="Times New Roman" w:hAnsi="Times New Roman" w:hint="eastAsia"/>
          <w:color w:val="000000" w:themeColor="text1"/>
        </w:rPr>
        <w:t>海企仓储</w:t>
      </w:r>
      <w:r w:rsidRPr="00A214B0">
        <w:rPr>
          <w:rFonts w:ascii="Times New Roman" w:hAnsi="Times New Roman"/>
          <w:color w:val="000000" w:themeColor="text1"/>
        </w:rPr>
        <w:t>的营业成本</w:t>
      </w:r>
      <w:r w:rsidRPr="00A214B0">
        <w:rPr>
          <w:rFonts w:ascii="Times New Roman" w:hAnsi="Times New Roman" w:hint="eastAsia"/>
          <w:color w:val="000000" w:themeColor="text1"/>
        </w:rPr>
        <w:t>包括</w:t>
      </w:r>
      <w:r w:rsidRPr="00A214B0">
        <w:rPr>
          <w:rFonts w:ascii="Times New Roman" w:hAnsi="Times New Roman"/>
          <w:color w:val="000000" w:themeColor="text1"/>
        </w:rPr>
        <w:t>人工成本、设备的折旧以及</w:t>
      </w:r>
      <w:r w:rsidRPr="00A214B0">
        <w:rPr>
          <w:rFonts w:ascii="Times New Roman" w:hAnsi="Times New Roman" w:hint="eastAsia"/>
          <w:color w:val="000000" w:themeColor="text1"/>
        </w:rPr>
        <w:t>仓储管理以及装卸</w:t>
      </w:r>
      <w:r w:rsidRPr="00A214B0">
        <w:rPr>
          <w:rFonts w:ascii="Times New Roman" w:hAnsi="Times New Roman"/>
          <w:color w:val="000000" w:themeColor="text1"/>
        </w:rPr>
        <w:t>过程中发生的各项费用等</w:t>
      </w:r>
      <w:r w:rsidRPr="00A214B0">
        <w:rPr>
          <w:rFonts w:ascii="Times New Roman" w:hAnsi="Times New Roman" w:hint="eastAsia"/>
          <w:color w:val="000000" w:themeColor="text1"/>
        </w:rPr>
        <w:t>。海企仓储</w:t>
      </w:r>
      <w:r w:rsidRPr="00A214B0">
        <w:rPr>
          <w:rFonts w:ascii="Times New Roman" w:hAnsi="Times New Roman"/>
          <w:color w:val="000000" w:themeColor="text1"/>
        </w:rPr>
        <w:t>属于</w:t>
      </w:r>
      <w:r w:rsidRPr="00A214B0">
        <w:rPr>
          <w:rFonts w:ascii="Times New Roman" w:hAnsi="Times New Roman" w:hint="eastAsia"/>
          <w:color w:val="000000" w:themeColor="text1"/>
        </w:rPr>
        <w:t>资本</w:t>
      </w:r>
      <w:r w:rsidRPr="00A214B0">
        <w:rPr>
          <w:rFonts w:ascii="Times New Roman" w:hAnsi="Times New Roman"/>
          <w:color w:val="000000" w:themeColor="text1"/>
        </w:rPr>
        <w:t>密集型</w:t>
      </w:r>
      <w:r w:rsidRPr="00A214B0">
        <w:rPr>
          <w:rFonts w:ascii="Times New Roman" w:hAnsi="Times New Roman" w:hint="eastAsia"/>
          <w:color w:val="000000" w:themeColor="text1"/>
        </w:rPr>
        <w:t>企业</w:t>
      </w:r>
      <w:r w:rsidRPr="00A214B0">
        <w:rPr>
          <w:rFonts w:ascii="Times New Roman" w:hAnsi="Times New Roman"/>
          <w:color w:val="000000" w:themeColor="text1"/>
        </w:rPr>
        <w:t>，</w:t>
      </w:r>
      <w:r w:rsidRPr="00A214B0">
        <w:rPr>
          <w:rFonts w:ascii="Times New Roman" w:hAnsi="Times New Roman" w:hint="eastAsia"/>
          <w:color w:val="000000" w:themeColor="text1"/>
        </w:rPr>
        <w:t>其主要成本为设备折旧支出以及人员工资支出，其中设备折旧支出占总成本一半以上，未来年度对</w:t>
      </w:r>
      <w:r w:rsidRPr="00A214B0">
        <w:rPr>
          <w:rFonts w:ascii="Times New Roman" w:hAnsi="Times New Roman"/>
          <w:color w:val="000000" w:themeColor="text1"/>
        </w:rPr>
        <w:t>折旧费根据企业会计政策预测，人员工资根据人员数量和年均收入预测，其余成本，按照与收入的一定比例预测，预测如下</w:t>
      </w:r>
      <w:r w:rsidRPr="00A214B0">
        <w:rPr>
          <w:rFonts w:ascii="Times New Roman" w:hAnsi="Times New Roman" w:hint="eastAsia"/>
          <w:color w:val="000000" w:themeColor="text1"/>
        </w:rPr>
        <w:t>：</w:t>
      </w:r>
    </w:p>
    <w:p w:rsidR="00D56508" w:rsidRPr="00A214B0" w:rsidRDefault="00F1265B">
      <w:pPr>
        <w:pStyle w:val="af7"/>
        <w:adjustRightInd w:val="0"/>
        <w:snapToGrid w:val="0"/>
        <w:spacing w:before="0" w:beforeAutospacing="0" w:after="0" w:afterAutospacing="0" w:line="360" w:lineRule="auto"/>
        <w:ind w:firstLineChars="200" w:firstLine="360"/>
        <w:jc w:val="right"/>
        <w:rPr>
          <w:rFonts w:ascii="Times New Roman" w:hAnsi="Times New Roman"/>
          <w:color w:val="000000" w:themeColor="text1"/>
        </w:rPr>
      </w:pPr>
      <w:r w:rsidRPr="00A214B0">
        <w:rPr>
          <w:rFonts w:ascii="Times New Roman" w:hAnsi="Times New Roman" w:hint="eastAsia"/>
          <w:color w:val="000000" w:themeColor="text1"/>
          <w:sz w:val="18"/>
          <w:szCs w:val="18"/>
        </w:rPr>
        <w:t>金额单位：人民币万元</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083"/>
        <w:gridCol w:w="1082"/>
        <w:gridCol w:w="1082"/>
        <w:gridCol w:w="1082"/>
        <w:gridCol w:w="1082"/>
        <w:gridCol w:w="1082"/>
        <w:gridCol w:w="1082"/>
      </w:tblGrid>
      <w:tr w:rsidR="00D56508" w:rsidRPr="00A214B0">
        <w:trPr>
          <w:trHeight w:val="555"/>
        </w:trPr>
        <w:tc>
          <w:tcPr>
            <w:tcW w:w="147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内容</w:t>
            </w:r>
          </w:p>
        </w:tc>
        <w:tc>
          <w:tcPr>
            <w:tcW w:w="108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预测第一期</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预测第一年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预测第二年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预测第三年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预测第四年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预测第五年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D56508" w:rsidRPr="00A214B0">
        <w:trPr>
          <w:trHeight w:val="540"/>
        </w:trPr>
        <w:tc>
          <w:tcPr>
            <w:tcW w:w="1474"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08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08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082"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工资</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219.31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378.73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429.07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459.11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491.25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491.25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491.25</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社会保险费用</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37.33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57.59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65.25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69.82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74.70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74.70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74.70</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住房公积金</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6.85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10.55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11.95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12.79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13.68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13.68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13.68</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福利费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19.17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37.18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42.13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45.08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48.23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48.23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48.23</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办公费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5.00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5.25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5.51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5.79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6.08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6.08</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汽油费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5.29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6.14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6.51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6.83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7.11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7.32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7.32</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日常修理费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2.94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3.20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3.82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3.82</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低值易耗品</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40.02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44.80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47.49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49.86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51.85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53.41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53.41</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差旅费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2.70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2.96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3.14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3.43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3.53</w:t>
            </w:r>
          </w:p>
        </w:tc>
      </w:tr>
      <w:tr w:rsidR="00250EC7" w:rsidRPr="00A214B0" w:rsidTr="00BB1C56">
        <w:trPr>
          <w:trHeight w:val="255"/>
        </w:trPr>
        <w:tc>
          <w:tcPr>
            <w:tcW w:w="1474" w:type="dxa"/>
            <w:shd w:val="clear" w:color="auto" w:fill="auto"/>
            <w:noWrap/>
            <w:vAlign w:val="center"/>
          </w:tcPr>
          <w:p w:rsidR="00250EC7" w:rsidRPr="00A214B0" w:rsidRDefault="00250EC7">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折旧费</w:t>
            </w:r>
          </w:p>
        </w:tc>
        <w:tc>
          <w:tcPr>
            <w:tcW w:w="1083"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1,684.02 </w:t>
            </w:r>
          </w:p>
        </w:tc>
        <w:tc>
          <w:tcPr>
            <w:tcW w:w="1082"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2,589.77 </w:t>
            </w:r>
          </w:p>
        </w:tc>
        <w:tc>
          <w:tcPr>
            <w:tcW w:w="1082"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2,501.69 </w:t>
            </w:r>
          </w:p>
        </w:tc>
        <w:tc>
          <w:tcPr>
            <w:tcW w:w="1082"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2,489.29 </w:t>
            </w:r>
          </w:p>
        </w:tc>
        <w:tc>
          <w:tcPr>
            <w:tcW w:w="1082"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2,298.66 </w:t>
            </w:r>
          </w:p>
        </w:tc>
        <w:tc>
          <w:tcPr>
            <w:tcW w:w="1082"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2,259.43 </w:t>
            </w:r>
          </w:p>
        </w:tc>
        <w:tc>
          <w:tcPr>
            <w:tcW w:w="1082" w:type="dxa"/>
            <w:shd w:val="clear" w:color="auto" w:fill="auto"/>
            <w:noWrap/>
            <w:vAlign w:val="center"/>
          </w:tcPr>
          <w:p w:rsidR="00250EC7" w:rsidRPr="00A214B0" w:rsidRDefault="00250EC7">
            <w:pPr>
              <w:rPr>
                <w:rFonts w:ascii="Arial Narrow" w:eastAsia="宋体" w:hAnsi="Arial Narrow" w:cs="宋体"/>
                <w:color w:val="000000"/>
                <w:sz w:val="20"/>
                <w:szCs w:val="20"/>
              </w:rPr>
            </w:pPr>
            <w:r w:rsidRPr="00A214B0">
              <w:rPr>
                <w:rFonts w:ascii="Arial Narrow" w:hAnsi="Arial Narrow"/>
                <w:color w:val="000000"/>
                <w:sz w:val="20"/>
                <w:szCs w:val="20"/>
              </w:rPr>
              <w:t xml:space="preserve"> 2,113.58 </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业务招待费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6.75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12.04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12.77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13.41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13.94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14.36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14.36</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会务费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1.67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1.92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2.16</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设备维修</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11.01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12.15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12.88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13.52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14.06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14.48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14.48</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车辆费用</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10.25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15.67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16.61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17.44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18.13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18.68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18.68</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运输费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0.89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0.96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1.14</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水电费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141.46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263.22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279.01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292.96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304.68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313.82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313.82</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邮电费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0.13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0.25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0.26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0.28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0.29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0.30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0.30</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环保支出费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16.05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18.09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19.18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20.14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20.94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21.57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21.57</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中介机构费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21.71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35.00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35.00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35.00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35.00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35.00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35.00</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制冷</w:t>
            </w:r>
            <w:r w:rsidRPr="00A214B0">
              <w:rPr>
                <w:rFonts w:ascii="Times New Roman" w:eastAsia="宋体" w:hAnsi="Times New Roman" w:cs="Times New Roman"/>
                <w:color w:val="000000" w:themeColor="text1"/>
                <w:kern w:val="0"/>
                <w:sz w:val="20"/>
                <w:szCs w:val="20"/>
              </w:rPr>
              <w:t>/</w:t>
            </w:r>
            <w:r w:rsidRPr="00A214B0">
              <w:rPr>
                <w:rFonts w:ascii="Times New Roman" w:eastAsia="宋体" w:hAnsi="Times New Roman" w:cs="Times New Roman"/>
                <w:color w:val="000000" w:themeColor="text1"/>
                <w:kern w:val="0"/>
                <w:sz w:val="20"/>
                <w:szCs w:val="20"/>
              </w:rPr>
              <w:t>制热费用</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66.35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127.55</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135.20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141.96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147.64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152.07</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152.07</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安全生产费</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149.16</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222.92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236.30</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248.11</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258.04</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265.78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265.78</w:t>
            </w:r>
          </w:p>
        </w:tc>
      </w:tr>
      <w:tr w:rsidR="00BB1C56" w:rsidRPr="00A214B0" w:rsidTr="00BB1C56">
        <w:trPr>
          <w:trHeight w:val="255"/>
        </w:trPr>
        <w:tc>
          <w:tcPr>
            <w:tcW w:w="1474" w:type="dxa"/>
            <w:shd w:val="clear" w:color="auto" w:fill="auto"/>
            <w:noWrap/>
            <w:vAlign w:val="center"/>
          </w:tcPr>
          <w:p w:rsidR="00BB1C56" w:rsidRPr="00A214B0" w:rsidRDefault="00BB1C5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w:t>
            </w:r>
          </w:p>
        </w:tc>
        <w:tc>
          <w:tcPr>
            <w:tcW w:w="1083"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24.38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37.48</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39.73</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41.72</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43.39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44.69</w:t>
            </w:r>
          </w:p>
        </w:tc>
        <w:tc>
          <w:tcPr>
            <w:tcW w:w="1082" w:type="dxa"/>
            <w:shd w:val="clear" w:color="auto" w:fill="auto"/>
            <w:noWrap/>
            <w:vAlign w:val="center"/>
          </w:tcPr>
          <w:p w:rsidR="00BB1C56" w:rsidRPr="00A214B0" w:rsidRDefault="00BB1C56" w:rsidP="00BB1C5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44.69</w:t>
            </w:r>
          </w:p>
        </w:tc>
      </w:tr>
      <w:tr w:rsidR="00250EC7" w:rsidRPr="00A214B0" w:rsidTr="00250EC7">
        <w:trPr>
          <w:trHeight w:val="285"/>
        </w:trPr>
        <w:tc>
          <w:tcPr>
            <w:tcW w:w="1474" w:type="dxa"/>
            <w:shd w:val="clear" w:color="auto" w:fill="auto"/>
            <w:noWrap/>
            <w:vAlign w:val="center"/>
          </w:tcPr>
          <w:p w:rsidR="00250EC7" w:rsidRPr="00A214B0" w:rsidRDefault="00250EC7">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总成本合计</w:t>
            </w:r>
          </w:p>
        </w:tc>
        <w:tc>
          <w:tcPr>
            <w:tcW w:w="1083"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2,470.10</w:t>
            </w:r>
          </w:p>
        </w:tc>
        <w:tc>
          <w:tcPr>
            <w:tcW w:w="1082"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3,883.06</w:t>
            </w:r>
          </w:p>
        </w:tc>
        <w:tc>
          <w:tcPr>
            <w:tcW w:w="1082"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3,905.73</w:t>
            </w:r>
          </w:p>
        </w:tc>
        <w:tc>
          <w:tcPr>
            <w:tcW w:w="1082"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3,972.76</w:t>
            </w:r>
          </w:p>
        </w:tc>
        <w:tc>
          <w:tcPr>
            <w:tcW w:w="1082"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3,857.72</w:t>
            </w:r>
          </w:p>
        </w:tc>
        <w:tc>
          <w:tcPr>
            <w:tcW w:w="1082"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3,845.49</w:t>
            </w:r>
          </w:p>
        </w:tc>
        <w:tc>
          <w:tcPr>
            <w:tcW w:w="1082" w:type="dxa"/>
            <w:shd w:val="clear" w:color="auto" w:fill="auto"/>
            <w:noWrap/>
            <w:vAlign w:val="center"/>
          </w:tcPr>
          <w:p w:rsidR="00250EC7" w:rsidRPr="00A214B0" w:rsidRDefault="00250EC7" w:rsidP="00250EC7">
            <w:pPr>
              <w:jc w:val="center"/>
              <w:rPr>
                <w:rFonts w:ascii="Arial Narrow" w:eastAsia="宋体" w:hAnsi="Arial Narrow" w:cs="宋体"/>
                <w:b/>
                <w:bCs/>
                <w:sz w:val="20"/>
                <w:szCs w:val="20"/>
              </w:rPr>
            </w:pPr>
            <w:r w:rsidRPr="00A214B0">
              <w:rPr>
                <w:rFonts w:ascii="Arial Narrow" w:hAnsi="Arial Narrow"/>
                <w:b/>
                <w:bCs/>
                <w:sz w:val="20"/>
                <w:szCs w:val="20"/>
              </w:rPr>
              <w:t>3,699.64</w:t>
            </w:r>
          </w:p>
        </w:tc>
      </w:tr>
    </w:tbl>
    <w:p w:rsidR="00D56508" w:rsidRPr="00A214B0" w:rsidRDefault="00D56508">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w:t>
      </w:r>
      <w:r w:rsidRPr="00A214B0">
        <w:rPr>
          <w:color w:val="000000" w:themeColor="text1"/>
          <w:sz w:val="24"/>
          <w:szCs w:val="22"/>
        </w:rPr>
        <w:t>3</w:t>
      </w:r>
      <w:r w:rsidRPr="00A214B0">
        <w:rPr>
          <w:color w:val="000000" w:themeColor="text1"/>
          <w:sz w:val="24"/>
          <w:szCs w:val="22"/>
        </w:rPr>
        <w:t>）税金及附加的预测</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海企仓储城建税</w:t>
      </w:r>
      <w:r w:rsidRPr="00A214B0">
        <w:rPr>
          <w:color w:val="000000" w:themeColor="text1"/>
          <w:sz w:val="24"/>
          <w:szCs w:val="22"/>
        </w:rPr>
        <w:t>7%</w:t>
      </w:r>
      <w:r w:rsidRPr="00A214B0">
        <w:rPr>
          <w:color w:val="000000" w:themeColor="text1"/>
          <w:sz w:val="24"/>
          <w:szCs w:val="22"/>
        </w:rPr>
        <w:t>，教育费附加</w:t>
      </w:r>
      <w:r w:rsidRPr="00A214B0">
        <w:rPr>
          <w:color w:val="000000" w:themeColor="text1"/>
          <w:sz w:val="24"/>
          <w:szCs w:val="22"/>
        </w:rPr>
        <w:t>3%</w:t>
      </w:r>
      <w:r w:rsidRPr="00A214B0">
        <w:rPr>
          <w:color w:val="000000" w:themeColor="text1"/>
          <w:sz w:val="24"/>
          <w:szCs w:val="22"/>
        </w:rPr>
        <w:t>，地方教育费附加</w:t>
      </w:r>
      <w:r w:rsidRPr="00A214B0">
        <w:rPr>
          <w:color w:val="000000" w:themeColor="text1"/>
          <w:sz w:val="24"/>
          <w:szCs w:val="22"/>
        </w:rPr>
        <w:t>2%</w:t>
      </w:r>
      <w:r w:rsidRPr="00A214B0">
        <w:rPr>
          <w:color w:val="000000" w:themeColor="text1"/>
          <w:sz w:val="24"/>
          <w:szCs w:val="22"/>
        </w:rPr>
        <w:t>，我们结合企业的税收政策，预测税金预测如下</w:t>
      </w:r>
      <w:r w:rsidRPr="00A214B0">
        <w:rPr>
          <w:color w:val="000000" w:themeColor="text1"/>
          <w:sz w:val="24"/>
          <w:szCs w:val="22"/>
        </w:rPr>
        <w:t xml:space="preserve">:                                </w:t>
      </w:r>
      <w:r w:rsidRPr="00A214B0">
        <w:rPr>
          <w:color w:val="000000" w:themeColor="text1"/>
          <w:sz w:val="24"/>
          <w:szCs w:val="22"/>
        </w:rPr>
        <w:t>单位：万元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065"/>
        <w:gridCol w:w="1001"/>
        <w:gridCol w:w="1114"/>
        <w:gridCol w:w="1112"/>
        <w:gridCol w:w="1114"/>
        <w:gridCol w:w="1114"/>
        <w:gridCol w:w="1114"/>
      </w:tblGrid>
      <w:tr w:rsidR="00D56508" w:rsidRPr="00A214B0">
        <w:trPr>
          <w:trHeight w:val="540"/>
        </w:trPr>
        <w:tc>
          <w:tcPr>
            <w:tcW w:w="1263" w:type="dxa"/>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hint="eastAsia"/>
                <w:b/>
                <w:bCs/>
                <w:color w:val="000000" w:themeColor="text1"/>
                <w:kern w:val="0"/>
                <w:sz w:val="20"/>
                <w:szCs w:val="20"/>
              </w:rPr>
              <w:t>项目</w:t>
            </w:r>
          </w:p>
        </w:tc>
        <w:tc>
          <w:tcPr>
            <w:tcW w:w="106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001"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房产税</w:t>
            </w:r>
          </w:p>
        </w:tc>
        <w:tc>
          <w:tcPr>
            <w:tcW w:w="1065"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7.23</w:t>
            </w:r>
          </w:p>
        </w:tc>
        <w:tc>
          <w:tcPr>
            <w:tcW w:w="1001"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9.66</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9.66</w:t>
            </w:r>
          </w:p>
        </w:tc>
        <w:tc>
          <w:tcPr>
            <w:tcW w:w="1112"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9.66</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9.66</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9.66</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9.66</w:t>
            </w: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土地使用税</w:t>
            </w:r>
          </w:p>
        </w:tc>
        <w:tc>
          <w:tcPr>
            <w:tcW w:w="1065"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34.41</w:t>
            </w:r>
          </w:p>
        </w:tc>
        <w:tc>
          <w:tcPr>
            <w:tcW w:w="1001"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45.88</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45.88</w:t>
            </w:r>
          </w:p>
        </w:tc>
        <w:tc>
          <w:tcPr>
            <w:tcW w:w="1112"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45.88</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45.88</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45.88</w:t>
            </w:r>
          </w:p>
        </w:tc>
        <w:tc>
          <w:tcPr>
            <w:tcW w:w="1114" w:type="dxa"/>
            <w:shd w:val="clear" w:color="auto" w:fill="auto"/>
            <w:noWrap/>
            <w:vAlign w:val="center"/>
          </w:tcPr>
          <w:p w:rsidR="00D56508" w:rsidRPr="00A214B0" w:rsidRDefault="00F1265B">
            <w:pPr>
              <w:widowControl/>
              <w:jc w:val="center"/>
              <w:textAlignment w:val="center"/>
              <w:rPr>
                <w:rFonts w:ascii="Times New Roman" w:hAnsi="Times New Roman" w:cs="Times New Roman"/>
                <w:color w:val="000000" w:themeColor="text1"/>
                <w:sz w:val="18"/>
                <w:szCs w:val="18"/>
              </w:rPr>
            </w:pPr>
            <w:r w:rsidRPr="00A214B0">
              <w:rPr>
                <w:rFonts w:ascii="Times New Roman" w:eastAsia="Arial Narrow" w:hAnsi="Times New Roman" w:cs="Times New Roman"/>
                <w:color w:val="000000" w:themeColor="text1"/>
                <w:kern w:val="0"/>
                <w:sz w:val="18"/>
                <w:szCs w:val="18"/>
                <w:lang w:bidi="ar"/>
              </w:rPr>
              <w:t>45.88</w:t>
            </w: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印花税</w:t>
            </w:r>
          </w:p>
        </w:tc>
        <w:tc>
          <w:tcPr>
            <w:tcW w:w="1065"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27.27 </w:t>
            </w:r>
          </w:p>
        </w:tc>
        <w:tc>
          <w:tcPr>
            <w:tcW w:w="1001"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50.41 </w:t>
            </w:r>
          </w:p>
        </w:tc>
        <w:tc>
          <w:tcPr>
            <w:tcW w:w="1114"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53.44 </w:t>
            </w:r>
          </w:p>
        </w:tc>
        <w:tc>
          <w:tcPr>
            <w:tcW w:w="1112"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56.11 </w:t>
            </w:r>
          </w:p>
        </w:tc>
        <w:tc>
          <w:tcPr>
            <w:tcW w:w="1114"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58.35 </w:t>
            </w:r>
          </w:p>
        </w:tc>
        <w:tc>
          <w:tcPr>
            <w:tcW w:w="1114"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60.10 </w:t>
            </w:r>
          </w:p>
        </w:tc>
        <w:tc>
          <w:tcPr>
            <w:tcW w:w="1114" w:type="dxa"/>
            <w:vMerge w:val="restart"/>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60.10 </w:t>
            </w: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城市维护建设税</w:t>
            </w:r>
          </w:p>
        </w:tc>
        <w:tc>
          <w:tcPr>
            <w:tcW w:w="1065"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c>
          <w:tcPr>
            <w:tcW w:w="1001"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c>
          <w:tcPr>
            <w:tcW w:w="1112"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widowControl/>
              <w:jc w:val="center"/>
              <w:textAlignment w:val="center"/>
              <w:rPr>
                <w:rFonts w:ascii="Times New Roman" w:hAnsi="Times New Roman" w:cs="Times New Roman"/>
                <w:color w:val="000000" w:themeColor="text1"/>
                <w:sz w:val="18"/>
                <w:szCs w:val="18"/>
              </w:rPr>
            </w:pP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教育费附加</w:t>
            </w:r>
          </w:p>
        </w:tc>
        <w:tc>
          <w:tcPr>
            <w:tcW w:w="1065"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1001"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1112"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c>
          <w:tcPr>
            <w:tcW w:w="1114" w:type="dxa"/>
            <w:vMerge/>
            <w:shd w:val="clear" w:color="auto" w:fill="auto"/>
            <w:noWrap/>
            <w:vAlign w:val="center"/>
          </w:tcPr>
          <w:p w:rsidR="00D56508" w:rsidRPr="00A214B0" w:rsidRDefault="00D56508">
            <w:pPr>
              <w:jc w:val="center"/>
              <w:rPr>
                <w:rFonts w:ascii="Times New Roman" w:hAnsi="Times New Roman" w:cs="Times New Roman"/>
                <w:color w:val="000000" w:themeColor="text1"/>
                <w:sz w:val="18"/>
                <w:szCs w:val="18"/>
              </w:rPr>
            </w:pP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环境保护税</w:t>
            </w:r>
          </w:p>
        </w:tc>
        <w:tc>
          <w:tcPr>
            <w:tcW w:w="1065"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7.53 </w:t>
            </w:r>
          </w:p>
        </w:tc>
        <w:tc>
          <w:tcPr>
            <w:tcW w:w="1001"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10.06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10.06 </w:t>
            </w:r>
          </w:p>
        </w:tc>
        <w:tc>
          <w:tcPr>
            <w:tcW w:w="1112"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10.06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10.06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10.06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10.06 </w:t>
            </w:r>
          </w:p>
        </w:tc>
      </w:tr>
      <w:tr w:rsidR="00D56508" w:rsidRPr="00A214B0">
        <w:trPr>
          <w:trHeight w:val="300"/>
        </w:trPr>
        <w:tc>
          <w:tcPr>
            <w:tcW w:w="1263" w:type="dxa"/>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b/>
                <w:color w:val="000000" w:themeColor="text1"/>
                <w:kern w:val="0"/>
                <w:sz w:val="18"/>
                <w:szCs w:val="18"/>
                <w:lang w:bidi="ar"/>
              </w:rPr>
              <w:t>税金及附加</w:t>
            </w:r>
          </w:p>
        </w:tc>
        <w:tc>
          <w:tcPr>
            <w:tcW w:w="1065"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76.44 </w:t>
            </w:r>
          </w:p>
        </w:tc>
        <w:tc>
          <w:tcPr>
            <w:tcW w:w="1001"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116.01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119.04 </w:t>
            </w:r>
          </w:p>
        </w:tc>
        <w:tc>
          <w:tcPr>
            <w:tcW w:w="1112"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121.71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123.95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125.70 </w:t>
            </w:r>
          </w:p>
        </w:tc>
        <w:tc>
          <w:tcPr>
            <w:tcW w:w="1114" w:type="dxa"/>
            <w:shd w:val="clear" w:color="auto" w:fill="auto"/>
            <w:noWrap/>
            <w:vAlign w:val="center"/>
          </w:tcPr>
          <w:p w:rsidR="00D56508" w:rsidRPr="00A214B0" w:rsidRDefault="00F1265B">
            <w:pPr>
              <w:widowControl/>
              <w:jc w:val="center"/>
              <w:textAlignment w:val="center"/>
              <w:rPr>
                <w:rFonts w:ascii="Times New Roman" w:eastAsia="Arial Narrow" w:hAnsi="Times New Roman" w:cs="Times New Roman"/>
                <w:color w:val="000000" w:themeColor="text1"/>
                <w:kern w:val="0"/>
                <w:sz w:val="18"/>
                <w:szCs w:val="18"/>
                <w:lang w:bidi="ar"/>
              </w:rPr>
            </w:pPr>
            <w:r w:rsidRPr="00A214B0">
              <w:rPr>
                <w:rFonts w:ascii="Times New Roman" w:eastAsia="Arial Narrow" w:hAnsi="Times New Roman" w:cs="Times New Roman"/>
                <w:color w:val="000000" w:themeColor="text1"/>
                <w:kern w:val="0"/>
                <w:sz w:val="18"/>
                <w:szCs w:val="18"/>
                <w:lang w:bidi="ar"/>
              </w:rPr>
              <w:t xml:space="preserve"> 125.70 </w:t>
            </w:r>
          </w:p>
        </w:tc>
      </w:tr>
    </w:tbl>
    <w:p w:rsidR="00D56508" w:rsidRPr="00A214B0" w:rsidRDefault="00D56508">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w:t>
      </w:r>
      <w:r w:rsidRPr="00A214B0">
        <w:rPr>
          <w:color w:val="000000" w:themeColor="text1"/>
          <w:sz w:val="24"/>
          <w:szCs w:val="22"/>
        </w:rPr>
        <w:t>4</w:t>
      </w:r>
      <w:r w:rsidRPr="00A214B0">
        <w:rPr>
          <w:color w:val="000000" w:themeColor="text1"/>
          <w:sz w:val="24"/>
          <w:szCs w:val="22"/>
        </w:rPr>
        <w:t>）营业费用的预测。</w:t>
      </w:r>
    </w:p>
    <w:p w:rsidR="00E13447" w:rsidRPr="00A214B0" w:rsidRDefault="00E13447">
      <w:pPr>
        <w:pStyle w:val="aa"/>
        <w:adjustRightInd w:val="0"/>
        <w:snapToGrid w:val="0"/>
        <w:spacing w:line="360" w:lineRule="auto"/>
        <w:ind w:firstLineChars="200" w:firstLine="480"/>
        <w:rPr>
          <w:color w:val="000000" w:themeColor="text1"/>
          <w:sz w:val="24"/>
          <w:szCs w:val="22"/>
        </w:rPr>
      </w:pPr>
      <w:r w:rsidRPr="00A214B0">
        <w:rPr>
          <w:rFonts w:hint="eastAsia"/>
          <w:color w:val="000000" w:themeColor="text1"/>
          <w:sz w:val="24"/>
          <w:szCs w:val="22"/>
        </w:rPr>
        <w:t>历史年度营业费用如下</w:t>
      </w:r>
    </w:p>
    <w:tbl>
      <w:tblPr>
        <w:tblW w:w="86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546"/>
        <w:gridCol w:w="1546"/>
        <w:gridCol w:w="1546"/>
        <w:gridCol w:w="1546"/>
      </w:tblGrid>
      <w:tr w:rsidR="00E13447" w:rsidRPr="00A214B0" w:rsidTr="00E13447">
        <w:trPr>
          <w:trHeight w:val="540"/>
        </w:trPr>
        <w:tc>
          <w:tcPr>
            <w:tcW w:w="2466" w:type="dxa"/>
            <w:shd w:val="clear" w:color="auto" w:fill="auto"/>
            <w:vAlign w:val="center"/>
            <w:hideMark/>
          </w:tcPr>
          <w:p w:rsidR="00E13447" w:rsidRPr="00A214B0" w:rsidRDefault="00E13447" w:rsidP="00E13447">
            <w:pPr>
              <w:widowControl/>
              <w:jc w:val="center"/>
              <w:rPr>
                <w:rFonts w:ascii="宋体" w:eastAsia="宋体" w:hAnsi="宋体" w:cs="宋体"/>
                <w:b/>
                <w:bCs/>
                <w:kern w:val="0"/>
                <w:sz w:val="20"/>
                <w:szCs w:val="20"/>
              </w:rPr>
            </w:pP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2016</w:t>
            </w:r>
            <w:r w:rsidRPr="00A214B0">
              <w:rPr>
                <w:rFonts w:ascii="Arial Narrow" w:eastAsia="宋体" w:hAnsi="Arial Narrow" w:cs="宋体"/>
                <w:b/>
                <w:bCs/>
                <w:kern w:val="0"/>
                <w:sz w:val="20"/>
                <w:szCs w:val="20"/>
              </w:rPr>
              <w:t>年</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2017</w:t>
            </w:r>
            <w:r w:rsidRPr="00A214B0">
              <w:rPr>
                <w:rFonts w:ascii="Arial Narrow" w:eastAsia="宋体" w:hAnsi="Arial Narrow" w:cs="宋体"/>
                <w:b/>
                <w:bCs/>
                <w:kern w:val="0"/>
                <w:sz w:val="20"/>
                <w:szCs w:val="20"/>
              </w:rPr>
              <w:t>年</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2018</w:t>
            </w:r>
            <w:r w:rsidRPr="00A214B0">
              <w:rPr>
                <w:rFonts w:ascii="Arial Narrow" w:eastAsia="宋体" w:hAnsi="Arial Narrow" w:cs="宋体"/>
                <w:b/>
                <w:bCs/>
                <w:kern w:val="0"/>
                <w:sz w:val="20"/>
                <w:szCs w:val="20"/>
              </w:rPr>
              <w:t>年</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2019</w:t>
            </w:r>
            <w:r w:rsidRPr="00A214B0">
              <w:rPr>
                <w:rFonts w:ascii="Arial Narrow" w:eastAsia="宋体" w:hAnsi="Arial Narrow" w:cs="宋体"/>
                <w:b/>
                <w:bCs/>
                <w:kern w:val="0"/>
                <w:sz w:val="20"/>
                <w:szCs w:val="20"/>
              </w:rPr>
              <w:t>年</w:t>
            </w:r>
            <w:r w:rsidRPr="00A214B0">
              <w:rPr>
                <w:rFonts w:ascii="Arial Narrow" w:eastAsia="宋体" w:hAnsi="Arial Narrow" w:cs="宋体"/>
                <w:b/>
                <w:bCs/>
                <w:kern w:val="0"/>
                <w:sz w:val="20"/>
                <w:szCs w:val="20"/>
              </w:rPr>
              <w:t>1-4</w:t>
            </w:r>
            <w:r w:rsidRPr="00A214B0">
              <w:rPr>
                <w:rFonts w:ascii="Arial Narrow" w:eastAsia="宋体" w:hAnsi="Arial Narrow" w:cs="宋体"/>
                <w:b/>
                <w:bCs/>
                <w:kern w:val="0"/>
                <w:sz w:val="20"/>
                <w:szCs w:val="20"/>
              </w:rPr>
              <w:t>月</w:t>
            </w:r>
          </w:p>
        </w:tc>
      </w:tr>
      <w:tr w:rsidR="00E13447" w:rsidRPr="00A214B0" w:rsidTr="00E13447">
        <w:trPr>
          <w:trHeight w:val="33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b/>
                <w:bCs/>
                <w:kern w:val="0"/>
                <w:sz w:val="20"/>
                <w:szCs w:val="20"/>
              </w:rPr>
            </w:pPr>
            <w:r w:rsidRPr="00A214B0">
              <w:rPr>
                <w:rFonts w:ascii="宋体" w:eastAsia="宋体" w:hAnsi="宋体" w:cs="宋体" w:hint="eastAsia"/>
                <w:b/>
                <w:bCs/>
                <w:kern w:val="0"/>
                <w:sz w:val="20"/>
                <w:szCs w:val="20"/>
              </w:rPr>
              <w:t>营业（销售）费用</w:t>
            </w:r>
          </w:p>
        </w:tc>
        <w:tc>
          <w:tcPr>
            <w:tcW w:w="1546" w:type="dxa"/>
            <w:shd w:val="clear" w:color="auto" w:fill="auto"/>
            <w:noWrap/>
            <w:vAlign w:val="center"/>
            <w:hideMark/>
          </w:tcPr>
          <w:p w:rsidR="00E13447" w:rsidRPr="00A214B0" w:rsidRDefault="00E13447" w:rsidP="00E13447">
            <w:pPr>
              <w:widowControl/>
              <w:jc w:val="center"/>
              <w:rPr>
                <w:rFonts w:ascii="宋体" w:eastAsia="宋体" w:hAnsi="宋体" w:cs="宋体"/>
                <w:b/>
                <w:bCs/>
                <w:kern w:val="0"/>
                <w:sz w:val="20"/>
                <w:szCs w:val="20"/>
              </w:rPr>
            </w:pP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招待费</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42.41</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70.86</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46.79</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18.34</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职工薪酬</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77.66</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81.42</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131.10</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37.53</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会务费</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3.78</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2.01</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2.41</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0.33</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差旅费</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17.72</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18.27</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22.23</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3.08</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办公费</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9.13</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1.82</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1.27</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0.31</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车辆费</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13.77</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22.95</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16.81</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3.07</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通讯费</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2.90</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2.44</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1.43</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0.31</w:t>
            </w:r>
          </w:p>
        </w:tc>
      </w:tr>
      <w:tr w:rsidR="00E13447" w:rsidRPr="00A214B0" w:rsidTr="00E13447">
        <w:trPr>
          <w:trHeight w:val="240"/>
        </w:trPr>
        <w:tc>
          <w:tcPr>
            <w:tcW w:w="2466" w:type="dxa"/>
            <w:shd w:val="clear" w:color="auto" w:fill="auto"/>
            <w:noWrap/>
            <w:vAlign w:val="center"/>
            <w:hideMark/>
          </w:tcPr>
          <w:p w:rsidR="00E13447" w:rsidRPr="00A214B0" w:rsidRDefault="00E13447"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其他</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2.19</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1.59</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1.87</w:t>
            </w:r>
          </w:p>
        </w:tc>
        <w:tc>
          <w:tcPr>
            <w:tcW w:w="1546" w:type="dxa"/>
            <w:shd w:val="clear" w:color="auto" w:fill="auto"/>
            <w:noWrap/>
            <w:vAlign w:val="center"/>
            <w:hideMark/>
          </w:tcPr>
          <w:p w:rsidR="00E13447" w:rsidRPr="00A214B0" w:rsidRDefault="00E13447"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10.40</w:t>
            </w:r>
          </w:p>
        </w:tc>
      </w:tr>
    </w:tbl>
    <w:p w:rsidR="00E13447" w:rsidRPr="00A214B0" w:rsidRDefault="00E13447">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销售费用主要包括工资等，根据企业历史年度的平均发生额，并考虑未来年度的经营情况适当调整预测。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967"/>
        <w:gridCol w:w="967"/>
        <w:gridCol w:w="967"/>
        <w:gridCol w:w="966"/>
        <w:gridCol w:w="966"/>
        <w:gridCol w:w="966"/>
        <w:gridCol w:w="966"/>
      </w:tblGrid>
      <w:tr w:rsidR="00D56508" w:rsidRPr="00A214B0">
        <w:trPr>
          <w:trHeight w:val="540"/>
        </w:trPr>
        <w:tc>
          <w:tcPr>
            <w:tcW w:w="1757" w:type="dxa"/>
            <w:shd w:val="clear" w:color="auto" w:fill="auto"/>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96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96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96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96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96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96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966" w:type="dxa"/>
            <w:shd w:val="clear" w:color="auto" w:fill="auto"/>
            <w:noWrap/>
            <w:vAlign w:val="center"/>
          </w:tcPr>
          <w:p w:rsidR="00D56508" w:rsidRPr="00A214B0" w:rsidRDefault="004718C6">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D56508" w:rsidRPr="00A214B0">
        <w:trPr>
          <w:trHeight w:val="330"/>
        </w:trPr>
        <w:tc>
          <w:tcPr>
            <w:tcW w:w="175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营业（销售）费用</w:t>
            </w:r>
          </w:p>
        </w:tc>
        <w:tc>
          <w:tcPr>
            <w:tcW w:w="96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96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96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96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96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96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96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招待费</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47.65</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71.27</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75.55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79.33</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82.50</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84.97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84.97</w:t>
            </w: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职工薪酬</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102.75</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200.13</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214.14</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229.13</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245.17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245.17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245.17</w:t>
            </w: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会务费</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3.22</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3.84</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4.07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4.27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4.44</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4.57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4.57</w:t>
            </w: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差旅费</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21.04</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26.05</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27.61</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28.99</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30.15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31.05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31.05</w:t>
            </w: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办公费</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5.41</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6.18</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6.55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6.88</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7.15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7.37</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7.37</w:t>
            </w: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车辆费</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18.93</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23.76</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25.18</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26.44</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27.50</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28.32</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28.32</w:t>
            </w:r>
          </w:p>
        </w:tc>
      </w:tr>
      <w:tr w:rsidR="004718C6" w:rsidRPr="00A214B0" w:rsidTr="004718C6">
        <w:trPr>
          <w:trHeight w:val="240"/>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通讯费</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2.61</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3.16</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3.51</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3.65</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3.76</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3.76</w:t>
            </w:r>
          </w:p>
        </w:tc>
      </w:tr>
      <w:tr w:rsidR="004718C6" w:rsidRPr="00A214B0" w:rsidTr="004718C6">
        <w:trPr>
          <w:trHeight w:val="255"/>
        </w:trPr>
        <w:tc>
          <w:tcPr>
            <w:tcW w:w="1757" w:type="dxa"/>
            <w:shd w:val="clear" w:color="auto" w:fill="auto"/>
            <w:noWrap/>
            <w:vAlign w:val="center"/>
          </w:tcPr>
          <w:p w:rsidR="004718C6" w:rsidRPr="00A214B0" w:rsidRDefault="004718C6">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合计</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201.61</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334.38</w:t>
            </w:r>
          </w:p>
        </w:tc>
        <w:tc>
          <w:tcPr>
            <w:tcW w:w="967"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356.44</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378.54</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400.56</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405.22</w:t>
            </w:r>
          </w:p>
        </w:tc>
        <w:tc>
          <w:tcPr>
            <w:tcW w:w="966" w:type="dxa"/>
            <w:shd w:val="clear" w:color="auto" w:fill="auto"/>
            <w:noWrap/>
            <w:vAlign w:val="center"/>
          </w:tcPr>
          <w:p w:rsidR="004718C6" w:rsidRPr="00A214B0" w:rsidRDefault="004718C6" w:rsidP="004718C6">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405.22</w:t>
            </w:r>
          </w:p>
        </w:tc>
      </w:tr>
    </w:tbl>
    <w:p w:rsidR="00D56508" w:rsidRPr="00A214B0" w:rsidRDefault="00D56508">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w:t>
      </w:r>
      <w:r w:rsidRPr="00A214B0">
        <w:rPr>
          <w:color w:val="000000" w:themeColor="text1"/>
          <w:sz w:val="24"/>
          <w:szCs w:val="22"/>
        </w:rPr>
        <w:t>5</w:t>
      </w:r>
      <w:r w:rsidRPr="00A214B0">
        <w:rPr>
          <w:color w:val="000000" w:themeColor="text1"/>
          <w:sz w:val="24"/>
          <w:szCs w:val="22"/>
        </w:rPr>
        <w:t>）管理费用的预测。</w:t>
      </w:r>
    </w:p>
    <w:p w:rsidR="00E13447" w:rsidRPr="00A214B0" w:rsidRDefault="00E13447">
      <w:pPr>
        <w:pStyle w:val="aa"/>
        <w:adjustRightInd w:val="0"/>
        <w:snapToGrid w:val="0"/>
        <w:spacing w:line="360" w:lineRule="auto"/>
        <w:ind w:firstLineChars="200" w:firstLine="480"/>
        <w:rPr>
          <w:color w:val="000000" w:themeColor="text1"/>
          <w:sz w:val="24"/>
          <w:szCs w:val="22"/>
        </w:rPr>
      </w:pPr>
      <w:r w:rsidRPr="00A214B0">
        <w:rPr>
          <w:rFonts w:hint="eastAsia"/>
          <w:color w:val="000000" w:themeColor="text1"/>
          <w:sz w:val="24"/>
          <w:szCs w:val="22"/>
        </w:rPr>
        <w:t>历史年度管理费用如下</w:t>
      </w:r>
    </w:p>
    <w:tbl>
      <w:tblPr>
        <w:tblW w:w="7896"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399"/>
        <w:gridCol w:w="1497"/>
        <w:gridCol w:w="1497"/>
        <w:gridCol w:w="1497"/>
      </w:tblGrid>
      <w:tr w:rsidR="002B15D4" w:rsidRPr="00A214B0" w:rsidTr="002B15D4">
        <w:trPr>
          <w:trHeight w:val="540"/>
          <w:jc w:val="center"/>
        </w:trPr>
        <w:tc>
          <w:tcPr>
            <w:tcW w:w="2006" w:type="dxa"/>
            <w:shd w:val="clear" w:color="auto" w:fill="auto"/>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2016</w:t>
            </w:r>
            <w:r w:rsidRPr="00A214B0">
              <w:rPr>
                <w:rFonts w:ascii="Arial Narrow" w:eastAsia="宋体" w:hAnsi="Arial Narrow" w:cs="宋体"/>
                <w:b/>
                <w:bCs/>
                <w:kern w:val="0"/>
                <w:sz w:val="20"/>
                <w:szCs w:val="20"/>
              </w:rPr>
              <w:t>年</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2017</w:t>
            </w:r>
            <w:r w:rsidRPr="00A214B0">
              <w:rPr>
                <w:rFonts w:ascii="Arial Narrow" w:eastAsia="宋体" w:hAnsi="Arial Narrow" w:cs="宋体"/>
                <w:b/>
                <w:bCs/>
                <w:kern w:val="0"/>
                <w:sz w:val="20"/>
                <w:szCs w:val="20"/>
              </w:rPr>
              <w:t>年</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2018</w:t>
            </w:r>
            <w:r w:rsidRPr="00A214B0">
              <w:rPr>
                <w:rFonts w:ascii="Arial Narrow" w:eastAsia="宋体" w:hAnsi="Arial Narrow" w:cs="宋体"/>
                <w:b/>
                <w:bCs/>
                <w:kern w:val="0"/>
                <w:sz w:val="20"/>
                <w:szCs w:val="20"/>
              </w:rPr>
              <w:t>年</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2019</w:t>
            </w:r>
            <w:r w:rsidRPr="00A214B0">
              <w:rPr>
                <w:rFonts w:ascii="Arial Narrow" w:eastAsia="宋体" w:hAnsi="Arial Narrow" w:cs="宋体"/>
                <w:b/>
                <w:bCs/>
                <w:kern w:val="0"/>
                <w:sz w:val="20"/>
                <w:szCs w:val="20"/>
              </w:rPr>
              <w:t>年</w:t>
            </w:r>
            <w:r w:rsidRPr="00A214B0">
              <w:rPr>
                <w:rFonts w:ascii="Arial Narrow" w:eastAsia="宋体" w:hAnsi="Arial Narrow" w:cs="宋体"/>
                <w:b/>
                <w:bCs/>
                <w:kern w:val="0"/>
                <w:sz w:val="20"/>
                <w:szCs w:val="20"/>
              </w:rPr>
              <w:t>1-4</w:t>
            </w:r>
            <w:r w:rsidRPr="00A214B0">
              <w:rPr>
                <w:rFonts w:ascii="Arial Narrow" w:eastAsia="宋体" w:hAnsi="Arial Narrow" w:cs="宋体"/>
                <w:b/>
                <w:bCs/>
                <w:kern w:val="0"/>
                <w:sz w:val="20"/>
                <w:szCs w:val="20"/>
              </w:rPr>
              <w:t>月</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r w:rsidRPr="00A214B0">
              <w:rPr>
                <w:rFonts w:ascii="宋体" w:eastAsia="宋体" w:hAnsi="宋体" w:cs="宋体" w:hint="eastAsia"/>
                <w:b/>
                <w:bCs/>
                <w:kern w:val="0"/>
                <w:sz w:val="20"/>
                <w:szCs w:val="20"/>
              </w:rPr>
              <w:t>固定部分</w:t>
            </w:r>
          </w:p>
        </w:tc>
        <w:tc>
          <w:tcPr>
            <w:tcW w:w="1399"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ind w:firstLineChars="100" w:firstLine="200"/>
              <w:jc w:val="center"/>
              <w:rPr>
                <w:rFonts w:ascii="宋体" w:eastAsia="宋体" w:hAnsi="宋体" w:cs="宋体"/>
                <w:kern w:val="0"/>
                <w:sz w:val="20"/>
                <w:szCs w:val="20"/>
              </w:rPr>
            </w:pPr>
            <w:r w:rsidRPr="00A214B0">
              <w:rPr>
                <w:rFonts w:ascii="宋体" w:eastAsia="宋体" w:hAnsi="宋体" w:cs="宋体" w:hint="eastAsia"/>
                <w:kern w:val="0"/>
                <w:sz w:val="20"/>
                <w:szCs w:val="20"/>
              </w:rPr>
              <w:t>折旧摊销</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138.64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139.73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138.27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44.78</w:t>
            </w:r>
          </w:p>
        </w:tc>
      </w:tr>
      <w:tr w:rsidR="002B15D4" w:rsidRPr="00A214B0" w:rsidTr="002B15D4">
        <w:trPr>
          <w:trHeight w:val="28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r w:rsidRPr="00A214B0">
              <w:rPr>
                <w:rFonts w:ascii="宋体" w:eastAsia="宋体" w:hAnsi="宋体" w:cs="宋体" w:hint="eastAsia"/>
                <w:b/>
                <w:bCs/>
                <w:kern w:val="0"/>
                <w:sz w:val="20"/>
                <w:szCs w:val="20"/>
              </w:rPr>
              <w:t>固定部分合计</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138.64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139.73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138.27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44.78</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r w:rsidRPr="00A214B0">
              <w:rPr>
                <w:rFonts w:ascii="宋体" w:eastAsia="宋体" w:hAnsi="宋体" w:cs="宋体" w:hint="eastAsia"/>
                <w:b/>
                <w:bCs/>
                <w:kern w:val="0"/>
                <w:sz w:val="20"/>
                <w:szCs w:val="20"/>
              </w:rPr>
              <w:t>可变部分</w:t>
            </w:r>
          </w:p>
        </w:tc>
        <w:tc>
          <w:tcPr>
            <w:tcW w:w="1399"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职工薪酬</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618.18</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611.83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613.43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291.65</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保险费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35.35</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1.51</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23.13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办公费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33.34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15.26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11.46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2.85</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招待费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40.24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28.61</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21.75</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6.57</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税费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46.93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中介机构费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37.57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39.36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29.28</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16.34</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车辆费用</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46.32</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47.44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33.15</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7.36</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差旅费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10.73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9.55</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11.30</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3.22</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修理费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0.93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1.49</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1.77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0.48</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低值易耗</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7.37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0.42</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0.30</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会务费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5.37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1.72</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0.21</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0.34</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邮电费</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8.65</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3.97</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3.09</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1.23</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研发费用</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575.70</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694.98</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714.21</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245.11</w:t>
            </w:r>
          </w:p>
        </w:tc>
      </w:tr>
      <w:tr w:rsidR="002B15D4" w:rsidRPr="00A214B0" w:rsidTr="002B15D4">
        <w:trPr>
          <w:trHeight w:val="25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kern w:val="0"/>
                <w:sz w:val="20"/>
                <w:szCs w:val="20"/>
              </w:rPr>
            </w:pPr>
            <w:r w:rsidRPr="00A214B0">
              <w:rPr>
                <w:rFonts w:ascii="宋体" w:eastAsia="宋体" w:hAnsi="宋体" w:cs="宋体" w:hint="eastAsia"/>
                <w:kern w:val="0"/>
                <w:sz w:val="20"/>
                <w:szCs w:val="20"/>
              </w:rPr>
              <w:t>其他</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14.16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2.84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83.96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kern w:val="0"/>
                <w:sz w:val="20"/>
                <w:szCs w:val="20"/>
              </w:rPr>
            </w:pPr>
            <w:r w:rsidRPr="00A214B0">
              <w:rPr>
                <w:rFonts w:ascii="Arial Narrow" w:eastAsia="宋体" w:hAnsi="Arial Narrow" w:cs="宋体"/>
                <w:kern w:val="0"/>
                <w:sz w:val="20"/>
                <w:szCs w:val="20"/>
              </w:rPr>
              <w:t>8.80</w:t>
            </w:r>
          </w:p>
        </w:tc>
      </w:tr>
      <w:tr w:rsidR="002B15D4" w:rsidRPr="00A214B0" w:rsidTr="002B15D4">
        <w:trPr>
          <w:trHeight w:val="28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r w:rsidRPr="00A214B0">
              <w:rPr>
                <w:rFonts w:ascii="宋体" w:eastAsia="宋体" w:hAnsi="宋体" w:cs="宋体" w:hint="eastAsia"/>
                <w:b/>
                <w:bCs/>
                <w:kern w:val="0"/>
                <w:sz w:val="20"/>
                <w:szCs w:val="20"/>
              </w:rPr>
              <w:t>可变部分合计</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1,480.84</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1,458.56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1,547.16</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584.25</w:t>
            </w:r>
          </w:p>
        </w:tc>
      </w:tr>
      <w:tr w:rsidR="002B15D4" w:rsidRPr="00A214B0" w:rsidTr="002B15D4">
        <w:trPr>
          <w:trHeight w:val="285"/>
          <w:jc w:val="center"/>
        </w:trPr>
        <w:tc>
          <w:tcPr>
            <w:tcW w:w="2006" w:type="dxa"/>
            <w:shd w:val="clear" w:color="auto" w:fill="auto"/>
            <w:noWrap/>
            <w:vAlign w:val="center"/>
            <w:hideMark/>
          </w:tcPr>
          <w:p w:rsidR="002B15D4" w:rsidRPr="00A214B0" w:rsidRDefault="002B15D4" w:rsidP="00E13447">
            <w:pPr>
              <w:widowControl/>
              <w:jc w:val="center"/>
              <w:rPr>
                <w:rFonts w:ascii="宋体" w:eastAsia="宋体" w:hAnsi="宋体" w:cs="宋体"/>
                <w:b/>
                <w:bCs/>
                <w:kern w:val="0"/>
                <w:sz w:val="20"/>
                <w:szCs w:val="20"/>
              </w:rPr>
            </w:pPr>
            <w:r w:rsidRPr="00A214B0">
              <w:rPr>
                <w:rFonts w:ascii="宋体" w:eastAsia="宋体" w:hAnsi="宋体" w:cs="宋体" w:hint="eastAsia"/>
                <w:b/>
                <w:bCs/>
                <w:kern w:val="0"/>
                <w:sz w:val="20"/>
                <w:szCs w:val="20"/>
              </w:rPr>
              <w:t>管理费用合计</w:t>
            </w:r>
          </w:p>
        </w:tc>
        <w:tc>
          <w:tcPr>
            <w:tcW w:w="1399"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1,619.48</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1,598.29</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1,685.43</w:t>
            </w:r>
          </w:p>
        </w:tc>
        <w:tc>
          <w:tcPr>
            <w:tcW w:w="1497" w:type="dxa"/>
            <w:shd w:val="clear" w:color="auto" w:fill="auto"/>
            <w:noWrap/>
            <w:vAlign w:val="center"/>
            <w:hideMark/>
          </w:tcPr>
          <w:p w:rsidR="002B15D4" w:rsidRPr="00A214B0" w:rsidRDefault="002B15D4" w:rsidP="00E13447">
            <w:pPr>
              <w:widowControl/>
              <w:jc w:val="center"/>
              <w:rPr>
                <w:rFonts w:ascii="Arial Narrow" w:eastAsia="宋体" w:hAnsi="Arial Narrow" w:cs="宋体"/>
                <w:b/>
                <w:bCs/>
                <w:kern w:val="0"/>
                <w:sz w:val="20"/>
                <w:szCs w:val="20"/>
              </w:rPr>
            </w:pPr>
            <w:r w:rsidRPr="00A214B0">
              <w:rPr>
                <w:rFonts w:ascii="Arial Narrow" w:eastAsia="宋体" w:hAnsi="Arial Narrow" w:cs="宋体"/>
                <w:b/>
                <w:bCs/>
                <w:kern w:val="0"/>
                <w:sz w:val="20"/>
                <w:szCs w:val="20"/>
              </w:rPr>
              <w:t>629.03</w:t>
            </w:r>
          </w:p>
        </w:tc>
      </w:tr>
    </w:tbl>
    <w:p w:rsidR="00E13447" w:rsidRPr="00A214B0" w:rsidRDefault="00E13447">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管理费用主要包括人员工资、折旧、无形资产摊销、研发费用等。</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职工薪酬按照职工人数及工资水平，并考虑未来用工需求及工资增长预测。</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固定资产折旧根据企业的固定资产总额和折旧政策进行测算。</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其他费用，根据企业历史年度的平均发生额，并考虑未来年度的经营情况适当调整预测。</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根据上述思路与方法，预测的未来年份具体管理费用详见收益法预测表。</w:t>
      </w:r>
    </w:p>
    <w:p w:rsidR="00D56508" w:rsidRPr="00A214B0" w:rsidRDefault="00F1265B">
      <w:pPr>
        <w:spacing w:line="300" w:lineRule="auto"/>
        <w:ind w:firstLineChars="200" w:firstLine="480"/>
        <w:jc w:val="right"/>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金额单位：万元</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106"/>
        <w:gridCol w:w="1107"/>
        <w:gridCol w:w="1106"/>
        <w:gridCol w:w="1110"/>
        <w:gridCol w:w="1105"/>
        <w:gridCol w:w="1106"/>
        <w:gridCol w:w="1107"/>
      </w:tblGrid>
      <w:tr w:rsidR="00D56508" w:rsidRPr="00A214B0">
        <w:trPr>
          <w:trHeight w:val="540"/>
        </w:trPr>
        <w:tc>
          <w:tcPr>
            <w:tcW w:w="1302" w:type="dxa"/>
            <w:shd w:val="clear" w:color="auto" w:fill="auto"/>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10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107"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10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10"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0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107" w:type="dxa"/>
            <w:shd w:val="clear" w:color="auto" w:fill="auto"/>
            <w:noWrap/>
            <w:vAlign w:val="center"/>
          </w:tcPr>
          <w:p w:rsidR="00D56508" w:rsidRPr="00A214B0" w:rsidRDefault="004718C6">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D56508" w:rsidRPr="00A214B0">
        <w:trPr>
          <w:trHeight w:val="255"/>
        </w:trPr>
        <w:tc>
          <w:tcPr>
            <w:tcW w:w="13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固定部分</w:t>
            </w:r>
          </w:p>
        </w:tc>
        <w:tc>
          <w:tcPr>
            <w:tcW w:w="110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10"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5"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250EC7" w:rsidRPr="00A214B0" w:rsidTr="00250EC7">
        <w:trPr>
          <w:trHeight w:val="255"/>
        </w:trPr>
        <w:tc>
          <w:tcPr>
            <w:tcW w:w="1302" w:type="dxa"/>
            <w:shd w:val="clear" w:color="auto" w:fill="auto"/>
            <w:noWrap/>
            <w:vAlign w:val="center"/>
          </w:tcPr>
          <w:p w:rsidR="00250EC7" w:rsidRPr="00A214B0" w:rsidRDefault="00250EC7">
            <w:pPr>
              <w:widowControl/>
              <w:ind w:firstLineChars="100" w:firstLine="200"/>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折旧摊销</w:t>
            </w:r>
          </w:p>
        </w:tc>
        <w:tc>
          <w:tcPr>
            <w:tcW w:w="1106"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101.18</w:t>
            </w:r>
          </w:p>
        </w:tc>
        <w:tc>
          <w:tcPr>
            <w:tcW w:w="1107"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141.79</w:t>
            </w:r>
          </w:p>
        </w:tc>
        <w:tc>
          <w:tcPr>
            <w:tcW w:w="1106"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134.10</w:t>
            </w:r>
          </w:p>
        </w:tc>
        <w:tc>
          <w:tcPr>
            <w:tcW w:w="1110"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104.89</w:t>
            </w:r>
          </w:p>
        </w:tc>
        <w:tc>
          <w:tcPr>
            <w:tcW w:w="1105"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69.15</w:t>
            </w:r>
          </w:p>
        </w:tc>
        <w:tc>
          <w:tcPr>
            <w:tcW w:w="1106"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78.34</w:t>
            </w:r>
          </w:p>
        </w:tc>
        <w:tc>
          <w:tcPr>
            <w:tcW w:w="1107" w:type="dxa"/>
            <w:shd w:val="clear" w:color="auto" w:fill="auto"/>
            <w:noWrap/>
            <w:vAlign w:val="center"/>
          </w:tcPr>
          <w:p w:rsidR="00250EC7" w:rsidRPr="00A214B0" w:rsidRDefault="00250EC7" w:rsidP="00250EC7">
            <w:pPr>
              <w:jc w:val="center"/>
              <w:rPr>
                <w:rFonts w:ascii="Arial Narrow" w:eastAsia="宋体" w:hAnsi="Arial Narrow" w:cs="宋体"/>
                <w:sz w:val="20"/>
                <w:szCs w:val="20"/>
              </w:rPr>
            </w:pPr>
            <w:r w:rsidRPr="00A214B0">
              <w:rPr>
                <w:rFonts w:ascii="Arial Narrow" w:hAnsi="Arial Narrow"/>
                <w:sz w:val="20"/>
                <w:szCs w:val="20"/>
              </w:rPr>
              <w:t>92.83</w:t>
            </w:r>
          </w:p>
        </w:tc>
      </w:tr>
      <w:tr w:rsidR="00250EC7" w:rsidRPr="00A214B0">
        <w:trPr>
          <w:trHeight w:val="285"/>
        </w:trPr>
        <w:tc>
          <w:tcPr>
            <w:tcW w:w="1302" w:type="dxa"/>
            <w:shd w:val="clear" w:color="auto" w:fill="auto"/>
            <w:noWrap/>
            <w:vAlign w:val="center"/>
          </w:tcPr>
          <w:p w:rsidR="00250EC7" w:rsidRPr="00A214B0" w:rsidRDefault="00250EC7">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固定部分合计</w:t>
            </w:r>
          </w:p>
        </w:tc>
        <w:tc>
          <w:tcPr>
            <w:tcW w:w="1106"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101.18</w:t>
            </w:r>
          </w:p>
        </w:tc>
        <w:tc>
          <w:tcPr>
            <w:tcW w:w="1107"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141.79</w:t>
            </w:r>
          </w:p>
        </w:tc>
        <w:tc>
          <w:tcPr>
            <w:tcW w:w="1106"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134.10</w:t>
            </w:r>
          </w:p>
        </w:tc>
        <w:tc>
          <w:tcPr>
            <w:tcW w:w="1110"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104.89</w:t>
            </w:r>
          </w:p>
        </w:tc>
        <w:tc>
          <w:tcPr>
            <w:tcW w:w="1105"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69.15</w:t>
            </w:r>
          </w:p>
        </w:tc>
        <w:tc>
          <w:tcPr>
            <w:tcW w:w="1106"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78.34</w:t>
            </w:r>
          </w:p>
        </w:tc>
        <w:tc>
          <w:tcPr>
            <w:tcW w:w="1107" w:type="dxa"/>
            <w:shd w:val="clear" w:color="auto" w:fill="auto"/>
            <w:noWrap/>
            <w:vAlign w:val="center"/>
          </w:tcPr>
          <w:p w:rsidR="00250EC7" w:rsidRPr="00A214B0" w:rsidRDefault="00250EC7" w:rsidP="007139E2">
            <w:pPr>
              <w:jc w:val="center"/>
              <w:rPr>
                <w:rFonts w:ascii="Arial Narrow" w:eastAsia="宋体" w:hAnsi="Arial Narrow" w:cs="宋体"/>
                <w:b/>
                <w:sz w:val="20"/>
                <w:szCs w:val="20"/>
              </w:rPr>
            </w:pPr>
            <w:r w:rsidRPr="00A214B0">
              <w:rPr>
                <w:rFonts w:ascii="Arial Narrow" w:hAnsi="Arial Narrow"/>
                <w:b/>
                <w:sz w:val="20"/>
                <w:szCs w:val="20"/>
              </w:rPr>
              <w:t>92.83</w:t>
            </w:r>
          </w:p>
        </w:tc>
      </w:tr>
      <w:tr w:rsidR="00D56508" w:rsidRPr="00A214B0">
        <w:trPr>
          <w:trHeight w:val="255"/>
        </w:trPr>
        <w:tc>
          <w:tcPr>
            <w:tcW w:w="130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可变部分</w:t>
            </w:r>
          </w:p>
        </w:tc>
        <w:tc>
          <w:tcPr>
            <w:tcW w:w="110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10"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5"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6"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c>
          <w:tcPr>
            <w:tcW w:w="1107" w:type="dxa"/>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20"/>
                <w:szCs w:val="20"/>
              </w:rPr>
            </w:pP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职工薪酬</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331.90</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784.25</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964.40</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1,031.90</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1,104.14</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1,104.14</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1,104.14</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保险费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26.66</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28.79</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30.52</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32.04</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33.32</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34.32</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34.32</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办公费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23.91</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28.90</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30.64</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32.17</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33.46</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34.46</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34.46</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招待费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32.62</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42.33</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44.87</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47.11</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49.00</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50.47</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50.47</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税费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23.35</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25.22</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26.73</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28.07</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29.19</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30.07</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30.07</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中介机构费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28.49</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48.42</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51.33</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53.89</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56.05</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57.73</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57.73</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车辆费用</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46.41</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58.07</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61.56</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64.63</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67.22</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69.24</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69.24</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差旅费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14.28</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15.13</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15.89</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16.53</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17.02</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17.02</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修理费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1.21</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1.83</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1.94</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2.04</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2.12</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2.18</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2.18</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低值易耗</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3.52</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4.13</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4.37</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4.59</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4.78</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4.92</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4.92</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会务费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3.08</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3.70</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3.92</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4.11</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4.28</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4.41</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4.41</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邮电费</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5.76</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7.55</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8.00</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8.40</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8.74</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9.00</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9.00</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研发费用</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487.14</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632.57</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527.34</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562.63</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599.46</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602.12</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602.12</w:t>
            </w:r>
          </w:p>
        </w:tc>
      </w:tr>
      <w:tr w:rsidR="00E13447" w:rsidRPr="00A214B0" w:rsidTr="00DE0C83">
        <w:trPr>
          <w:trHeight w:val="255"/>
        </w:trPr>
        <w:tc>
          <w:tcPr>
            <w:tcW w:w="1302" w:type="dxa"/>
            <w:shd w:val="clear" w:color="auto" w:fill="auto"/>
            <w:noWrap/>
            <w:vAlign w:val="center"/>
          </w:tcPr>
          <w:p w:rsidR="00DE0C83" w:rsidRPr="00A214B0" w:rsidRDefault="00DE0C8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其他</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1.20</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c>
          <w:tcPr>
            <w:tcW w:w="1110"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c>
          <w:tcPr>
            <w:tcW w:w="1105"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c>
          <w:tcPr>
            <w:tcW w:w="1106"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c>
          <w:tcPr>
            <w:tcW w:w="1107" w:type="dxa"/>
            <w:shd w:val="clear" w:color="auto" w:fill="auto"/>
            <w:noWrap/>
            <w:vAlign w:val="center"/>
          </w:tcPr>
          <w:p w:rsidR="00DE0C83" w:rsidRPr="00A214B0" w:rsidRDefault="00DE0C83" w:rsidP="00DE0C83">
            <w:pPr>
              <w:jc w:val="center"/>
              <w:rPr>
                <w:rFonts w:ascii="Arial Narrow" w:eastAsia="宋体" w:hAnsi="Arial Narrow" w:cs="宋体"/>
                <w:color w:val="000000" w:themeColor="text1"/>
                <w:sz w:val="20"/>
                <w:szCs w:val="20"/>
              </w:rPr>
            </w:pPr>
            <w:r w:rsidRPr="00A214B0">
              <w:rPr>
                <w:rFonts w:ascii="Arial Narrow" w:hAnsi="Arial Narrow"/>
                <w:color w:val="000000" w:themeColor="text1"/>
                <w:sz w:val="20"/>
                <w:szCs w:val="20"/>
              </w:rPr>
              <w:t>10.00</w:t>
            </w:r>
          </w:p>
        </w:tc>
      </w:tr>
      <w:tr w:rsidR="00BB5E23" w:rsidRPr="00A214B0" w:rsidTr="00BB5E23">
        <w:trPr>
          <w:trHeight w:val="285"/>
        </w:trPr>
        <w:tc>
          <w:tcPr>
            <w:tcW w:w="1302" w:type="dxa"/>
            <w:shd w:val="clear" w:color="auto" w:fill="auto"/>
            <w:noWrap/>
            <w:vAlign w:val="center"/>
          </w:tcPr>
          <w:p w:rsidR="00BB5E23" w:rsidRPr="00A214B0" w:rsidRDefault="00BB5E23">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可变部分合计</w:t>
            </w:r>
          </w:p>
        </w:tc>
        <w:tc>
          <w:tcPr>
            <w:tcW w:w="1106"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1,025.27</w:t>
            </w:r>
          </w:p>
        </w:tc>
        <w:tc>
          <w:tcPr>
            <w:tcW w:w="1107"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1,690.03</w:t>
            </w:r>
          </w:p>
        </w:tc>
        <w:tc>
          <w:tcPr>
            <w:tcW w:w="1106"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1,780.74</w:t>
            </w:r>
          </w:p>
        </w:tc>
        <w:tc>
          <w:tcPr>
            <w:tcW w:w="1110"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1,897.49</w:t>
            </w:r>
          </w:p>
        </w:tc>
        <w:tc>
          <w:tcPr>
            <w:tcW w:w="1105"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2,018.28</w:t>
            </w:r>
          </w:p>
        </w:tc>
        <w:tc>
          <w:tcPr>
            <w:tcW w:w="1106"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2,030.07</w:t>
            </w:r>
          </w:p>
        </w:tc>
        <w:tc>
          <w:tcPr>
            <w:tcW w:w="1107"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2,030.07</w:t>
            </w:r>
          </w:p>
        </w:tc>
      </w:tr>
      <w:tr w:rsidR="00BB5E23" w:rsidRPr="00A214B0" w:rsidTr="00BB5E23">
        <w:trPr>
          <w:trHeight w:val="285"/>
        </w:trPr>
        <w:tc>
          <w:tcPr>
            <w:tcW w:w="1302" w:type="dxa"/>
            <w:shd w:val="clear" w:color="auto" w:fill="auto"/>
            <w:noWrap/>
            <w:vAlign w:val="center"/>
          </w:tcPr>
          <w:p w:rsidR="00BB5E23" w:rsidRPr="00A214B0" w:rsidRDefault="00BB5E23">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管理费用合计</w:t>
            </w:r>
          </w:p>
        </w:tc>
        <w:tc>
          <w:tcPr>
            <w:tcW w:w="1106"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1,126.45</w:t>
            </w:r>
          </w:p>
        </w:tc>
        <w:tc>
          <w:tcPr>
            <w:tcW w:w="1107"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1,831.83</w:t>
            </w:r>
          </w:p>
        </w:tc>
        <w:tc>
          <w:tcPr>
            <w:tcW w:w="1106"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1,914.85</w:t>
            </w:r>
          </w:p>
        </w:tc>
        <w:tc>
          <w:tcPr>
            <w:tcW w:w="1110"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2,002.38</w:t>
            </w:r>
          </w:p>
        </w:tc>
        <w:tc>
          <w:tcPr>
            <w:tcW w:w="1105"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2,087.43</w:t>
            </w:r>
          </w:p>
        </w:tc>
        <w:tc>
          <w:tcPr>
            <w:tcW w:w="1106"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2,108.42</w:t>
            </w:r>
          </w:p>
        </w:tc>
        <w:tc>
          <w:tcPr>
            <w:tcW w:w="1107" w:type="dxa"/>
            <w:shd w:val="clear" w:color="auto" w:fill="auto"/>
            <w:noWrap/>
            <w:vAlign w:val="center"/>
          </w:tcPr>
          <w:p w:rsidR="00BB5E23" w:rsidRPr="00A214B0" w:rsidRDefault="00BB5E23" w:rsidP="00BB5E23">
            <w:pPr>
              <w:jc w:val="center"/>
              <w:rPr>
                <w:rFonts w:ascii="Arial Narrow" w:eastAsia="宋体" w:hAnsi="Arial Narrow" w:cs="宋体"/>
                <w:b/>
                <w:bCs/>
                <w:sz w:val="20"/>
                <w:szCs w:val="20"/>
              </w:rPr>
            </w:pPr>
            <w:r w:rsidRPr="00A214B0">
              <w:rPr>
                <w:rFonts w:ascii="Arial Narrow" w:hAnsi="Arial Narrow"/>
                <w:b/>
                <w:bCs/>
                <w:sz w:val="20"/>
                <w:szCs w:val="20"/>
              </w:rPr>
              <w:t>2,122.90</w:t>
            </w:r>
          </w:p>
        </w:tc>
      </w:tr>
    </w:tbl>
    <w:p w:rsidR="00D56508" w:rsidRPr="00A214B0" w:rsidRDefault="00F1265B">
      <w:pPr>
        <w:pStyle w:val="aa"/>
        <w:adjustRightInd w:val="0"/>
        <w:snapToGrid w:val="0"/>
        <w:spacing w:beforeLines="50" w:before="250" w:line="360" w:lineRule="auto"/>
        <w:ind w:firstLineChars="100" w:firstLine="240"/>
        <w:rPr>
          <w:color w:val="000000" w:themeColor="text1"/>
          <w:sz w:val="24"/>
          <w:szCs w:val="22"/>
        </w:rPr>
      </w:pPr>
      <w:r w:rsidRPr="00A214B0">
        <w:rPr>
          <w:color w:val="000000" w:themeColor="text1"/>
          <w:sz w:val="24"/>
          <w:szCs w:val="22"/>
        </w:rPr>
        <w:t>（</w:t>
      </w:r>
      <w:r w:rsidRPr="00A214B0">
        <w:rPr>
          <w:color w:val="000000" w:themeColor="text1"/>
          <w:sz w:val="24"/>
          <w:szCs w:val="22"/>
        </w:rPr>
        <w:t>6</w:t>
      </w:r>
      <w:r w:rsidRPr="00A214B0">
        <w:rPr>
          <w:color w:val="000000" w:themeColor="text1"/>
          <w:sz w:val="24"/>
          <w:szCs w:val="22"/>
        </w:rPr>
        <w:t>）财务费用的预测。</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财务费用预测考虑借款利息，手续费等较小不予预测</w:t>
      </w:r>
    </w:p>
    <w:p w:rsidR="00DE0C83" w:rsidRPr="00A214B0" w:rsidRDefault="00DE0C83">
      <w:pPr>
        <w:pStyle w:val="aa"/>
        <w:adjustRightInd w:val="0"/>
        <w:snapToGrid w:val="0"/>
        <w:spacing w:line="360" w:lineRule="auto"/>
        <w:ind w:firstLineChars="200" w:firstLine="480"/>
        <w:rPr>
          <w:color w:val="000000" w:themeColor="text1"/>
          <w:sz w:val="24"/>
          <w:szCs w:val="22"/>
        </w:rPr>
      </w:pPr>
      <w:r w:rsidRPr="00A214B0">
        <w:rPr>
          <w:rFonts w:hint="eastAsia"/>
          <w:color w:val="000000" w:themeColor="text1"/>
          <w:sz w:val="24"/>
          <w:szCs w:val="22"/>
        </w:rPr>
        <w:t>目前海企仓储合并范围内借款情况如下：</w:t>
      </w:r>
    </w:p>
    <w:tbl>
      <w:tblPr>
        <w:tblW w:w="4838" w:type="pct"/>
        <w:tblLook w:val="04A0" w:firstRow="1" w:lastRow="0" w:firstColumn="1" w:lastColumn="0" w:noHBand="0" w:noVBand="1"/>
      </w:tblPr>
      <w:tblGrid>
        <w:gridCol w:w="816"/>
        <w:gridCol w:w="3416"/>
        <w:gridCol w:w="1816"/>
        <w:gridCol w:w="1357"/>
        <w:gridCol w:w="1351"/>
      </w:tblGrid>
      <w:tr w:rsidR="00E13447" w:rsidRPr="00A214B0" w:rsidTr="00DE0C83">
        <w:trPr>
          <w:trHeight w:val="300"/>
        </w:trPr>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债务人</w:t>
            </w:r>
          </w:p>
        </w:tc>
        <w:tc>
          <w:tcPr>
            <w:tcW w:w="1951" w:type="pct"/>
            <w:tcBorders>
              <w:top w:val="single" w:sz="4" w:space="0" w:color="auto"/>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出借方</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本金（人民币元）</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港币（元）</w:t>
            </w:r>
          </w:p>
        </w:tc>
        <w:tc>
          <w:tcPr>
            <w:tcW w:w="810" w:type="pct"/>
            <w:tcBorders>
              <w:top w:val="single" w:sz="4" w:space="0" w:color="auto"/>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利率</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港务</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16"/>
                <w:szCs w:val="16"/>
              </w:rPr>
            </w:pPr>
            <w:r w:rsidRPr="00A214B0">
              <w:rPr>
                <w:rFonts w:ascii="宋体" w:eastAsia="宋体" w:hAnsi="宋体" w:cs="宋体" w:hint="eastAsia"/>
                <w:color w:val="000000" w:themeColor="text1"/>
                <w:kern w:val="0"/>
                <w:sz w:val="16"/>
                <w:szCs w:val="16"/>
              </w:rPr>
              <w:t>香港钟山有限公司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4,999,978.77</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5,828,568.00</w:t>
            </w: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3.76%</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招商银行股份有限公司泰州分行</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5,000,000.00</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5.4%</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江苏泰州农村商业银行股份有限公司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52,500,000.00</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6.0%</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江苏省海外企业集团有限公司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37,151,758.35</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7%</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江苏省海外企业集团有限公司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12,692,394.75</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7%</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江苏省海外企业集团有限公司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2,313,000.00</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7%</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江苏省海外企业集团有限公司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8,030,000.00</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7%</w:t>
            </w:r>
          </w:p>
        </w:tc>
      </w:tr>
      <w:tr w:rsidR="00E13447" w:rsidRPr="00A214B0" w:rsidTr="00DE0C83">
        <w:trPr>
          <w:trHeight w:val="30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宋体" w:eastAsia="宋体" w:hAnsi="宋体" w:cs="宋体"/>
                <w:color w:val="000000" w:themeColor="text1"/>
                <w:kern w:val="0"/>
                <w:sz w:val="20"/>
                <w:szCs w:val="20"/>
              </w:rPr>
            </w:pPr>
            <w:r w:rsidRPr="00A214B0">
              <w:rPr>
                <w:rFonts w:ascii="宋体" w:eastAsia="宋体" w:hAnsi="宋体" w:cs="宋体" w:hint="eastAsia"/>
                <w:color w:val="000000" w:themeColor="text1"/>
                <w:kern w:val="0"/>
                <w:sz w:val="20"/>
                <w:szCs w:val="20"/>
              </w:rPr>
              <w:t>仓储</w:t>
            </w:r>
          </w:p>
        </w:tc>
        <w:tc>
          <w:tcPr>
            <w:tcW w:w="19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香港钟山有限公司</w:t>
            </w:r>
          </w:p>
        </w:tc>
        <w:tc>
          <w:tcPr>
            <w:tcW w:w="923"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12,083,288.04</w:t>
            </w:r>
          </w:p>
        </w:tc>
        <w:tc>
          <w:tcPr>
            <w:tcW w:w="851"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14,085,713.00</w:t>
            </w:r>
          </w:p>
        </w:tc>
        <w:tc>
          <w:tcPr>
            <w:tcW w:w="810" w:type="pct"/>
            <w:tcBorders>
              <w:top w:val="nil"/>
              <w:left w:val="nil"/>
              <w:bottom w:val="single" w:sz="4" w:space="0" w:color="auto"/>
              <w:right w:val="single" w:sz="4" w:space="0" w:color="auto"/>
            </w:tcBorders>
            <w:shd w:val="clear" w:color="auto" w:fill="auto"/>
            <w:noWrap/>
            <w:vAlign w:val="center"/>
            <w:hideMark/>
          </w:tcPr>
          <w:p w:rsidR="00DE0C83" w:rsidRPr="00A214B0" w:rsidRDefault="00DE0C83" w:rsidP="00DE0C83">
            <w:pPr>
              <w:widowControl/>
              <w:jc w:val="center"/>
              <w:rPr>
                <w:rFonts w:ascii="Arial Narrow" w:eastAsia="宋体" w:hAnsi="Arial Narrow" w:cs="宋体"/>
                <w:color w:val="000000" w:themeColor="text1"/>
                <w:kern w:val="0"/>
                <w:sz w:val="20"/>
                <w:szCs w:val="20"/>
              </w:rPr>
            </w:pPr>
            <w:r w:rsidRPr="00A214B0">
              <w:rPr>
                <w:rFonts w:ascii="Arial Narrow" w:eastAsia="宋体" w:hAnsi="Arial Narrow" w:cs="宋体"/>
                <w:color w:val="000000" w:themeColor="text1"/>
                <w:kern w:val="0"/>
                <w:sz w:val="20"/>
                <w:szCs w:val="20"/>
              </w:rPr>
              <w:t>3.76%</w:t>
            </w:r>
          </w:p>
        </w:tc>
      </w:tr>
    </w:tbl>
    <w:p w:rsidR="00DE0C83" w:rsidRPr="00A214B0" w:rsidRDefault="00DE0C83">
      <w:pPr>
        <w:pStyle w:val="aa"/>
        <w:adjustRightInd w:val="0"/>
        <w:snapToGrid w:val="0"/>
        <w:spacing w:line="360" w:lineRule="auto"/>
        <w:ind w:firstLineChars="200" w:firstLine="480"/>
        <w:rPr>
          <w:color w:val="000000" w:themeColor="text1"/>
          <w:sz w:val="24"/>
          <w:szCs w:val="22"/>
        </w:rPr>
      </w:pPr>
      <w:r w:rsidRPr="00A214B0">
        <w:rPr>
          <w:rFonts w:hint="eastAsia"/>
          <w:color w:val="000000" w:themeColor="text1"/>
          <w:sz w:val="24"/>
          <w:szCs w:val="22"/>
        </w:rPr>
        <w:t>财务费用预测如下：</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1104"/>
        <w:gridCol w:w="1104"/>
        <w:gridCol w:w="1105"/>
        <w:gridCol w:w="1104"/>
        <w:gridCol w:w="1104"/>
        <w:gridCol w:w="1105"/>
        <w:gridCol w:w="1104"/>
      </w:tblGrid>
      <w:tr w:rsidR="00D56508" w:rsidRPr="00A214B0">
        <w:trPr>
          <w:trHeight w:val="300"/>
        </w:trPr>
        <w:tc>
          <w:tcPr>
            <w:tcW w:w="1319"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科目</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预测第一期</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预测第一年</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预测第二年</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预测第三年</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预测第四年</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预测第五年</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w:t>
            </w:r>
          </w:p>
        </w:tc>
      </w:tr>
      <w:tr w:rsidR="00D56508" w:rsidRPr="00A214B0">
        <w:trPr>
          <w:trHeight w:val="540"/>
        </w:trPr>
        <w:tc>
          <w:tcPr>
            <w:tcW w:w="1319"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104" w:type="dxa"/>
            <w:shd w:val="clear" w:color="auto" w:fill="auto"/>
            <w:noWrap/>
            <w:vAlign w:val="center"/>
          </w:tcPr>
          <w:p w:rsidR="00D56508" w:rsidRPr="00A214B0" w:rsidRDefault="00D56508">
            <w:pPr>
              <w:widowControl/>
              <w:jc w:val="center"/>
              <w:rPr>
                <w:rFonts w:ascii="Times New Roman" w:eastAsia="宋体" w:hAnsi="Times New Roman" w:cs="Times New Roman"/>
                <w:b/>
                <w:bCs/>
                <w:color w:val="000000" w:themeColor="text1"/>
                <w:kern w:val="0"/>
                <w:sz w:val="20"/>
                <w:szCs w:val="20"/>
              </w:rPr>
            </w:pPr>
          </w:p>
        </w:tc>
      </w:tr>
      <w:tr w:rsidR="00D56508" w:rsidRPr="00A214B0">
        <w:trPr>
          <w:trHeight w:val="300"/>
        </w:trPr>
        <w:tc>
          <w:tcPr>
            <w:tcW w:w="1319"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借款利息</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551.68</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r>
      <w:tr w:rsidR="00D56508" w:rsidRPr="00A214B0">
        <w:trPr>
          <w:trHeight w:val="300"/>
        </w:trPr>
        <w:tc>
          <w:tcPr>
            <w:tcW w:w="1319"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合计</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551.68</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5"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c>
          <w:tcPr>
            <w:tcW w:w="1104" w:type="dxa"/>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827.51</w:t>
            </w:r>
          </w:p>
        </w:tc>
      </w:tr>
    </w:tbl>
    <w:p w:rsidR="00AC5C30" w:rsidRPr="00A214B0" w:rsidRDefault="00AC5C30" w:rsidP="00AC5C30">
      <w:pPr>
        <w:pStyle w:val="aa"/>
        <w:adjustRightInd w:val="0"/>
        <w:snapToGrid w:val="0"/>
        <w:spacing w:line="360" w:lineRule="auto"/>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w:t>
      </w:r>
      <w:r w:rsidR="00AC5C30" w:rsidRPr="00A214B0">
        <w:rPr>
          <w:color w:val="000000" w:themeColor="text1"/>
          <w:sz w:val="24"/>
          <w:szCs w:val="22"/>
        </w:rPr>
        <w:t>7</w:t>
      </w:r>
      <w:r w:rsidRPr="00A214B0">
        <w:rPr>
          <w:color w:val="000000" w:themeColor="text1"/>
          <w:sz w:val="24"/>
          <w:szCs w:val="22"/>
        </w:rPr>
        <w:t>）折旧与摊销的预测。</w:t>
      </w:r>
    </w:p>
    <w:p w:rsidR="00D56508" w:rsidRPr="00A214B0" w:rsidRDefault="00F1265B" w:rsidP="001D0134">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折旧主要根据各个资产的原值、会计折旧年限、残值率计算求得；企业待摊费用主要为长期待摊费用的摊销，未来年度预测按照现行摊销政策估算。永续期</w:t>
      </w:r>
      <w:r w:rsidR="001D0134" w:rsidRPr="00A214B0">
        <w:rPr>
          <w:rFonts w:hint="eastAsia"/>
          <w:color w:val="000000" w:themeColor="text1"/>
          <w:sz w:val="24"/>
          <w:szCs w:val="22"/>
        </w:rPr>
        <w:t>由于经济耐用年限一般大于折旧年限，故在折现率下将资产的年</w:t>
      </w:r>
      <w:r w:rsidRPr="00A214B0">
        <w:rPr>
          <w:color w:val="000000" w:themeColor="text1"/>
          <w:sz w:val="24"/>
          <w:szCs w:val="22"/>
        </w:rPr>
        <w:t>折旧</w:t>
      </w:r>
      <w:r w:rsidR="001D0134" w:rsidRPr="00A214B0">
        <w:rPr>
          <w:rFonts w:hint="eastAsia"/>
          <w:color w:val="000000" w:themeColor="text1"/>
          <w:sz w:val="24"/>
          <w:szCs w:val="22"/>
        </w:rPr>
        <w:t>等效成每年固定的一笔金额。</w:t>
      </w:r>
      <w:r w:rsidRPr="00A214B0">
        <w:rPr>
          <w:color w:val="000000" w:themeColor="text1"/>
          <w:sz w:val="24"/>
          <w:szCs w:val="22"/>
        </w:rPr>
        <w:t>根据以上思路预测的未来年度折旧及摊销费用详见下表。</w:t>
      </w:r>
    </w:p>
    <w:p w:rsidR="00D56508" w:rsidRPr="00A214B0" w:rsidRDefault="00F1265B">
      <w:pPr>
        <w:spacing w:line="300" w:lineRule="auto"/>
        <w:ind w:firstLineChars="200" w:firstLine="480"/>
        <w:jc w:val="right"/>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金额单位：万元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13"/>
        <w:gridCol w:w="1114"/>
        <w:gridCol w:w="1114"/>
        <w:gridCol w:w="1112"/>
        <w:gridCol w:w="1114"/>
        <w:gridCol w:w="1114"/>
        <w:gridCol w:w="1114"/>
      </w:tblGrid>
      <w:tr w:rsidR="00E13447" w:rsidRPr="00A214B0">
        <w:trPr>
          <w:trHeight w:val="540"/>
        </w:trPr>
        <w:tc>
          <w:tcPr>
            <w:tcW w:w="1102" w:type="dxa"/>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收入</w:t>
            </w:r>
          </w:p>
        </w:tc>
        <w:tc>
          <w:tcPr>
            <w:tcW w:w="111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CA2D13" w:rsidRPr="00A214B0" w:rsidTr="00CA2D13">
        <w:trPr>
          <w:trHeight w:val="300"/>
        </w:trPr>
        <w:tc>
          <w:tcPr>
            <w:tcW w:w="1102" w:type="dxa"/>
            <w:vAlign w:val="center"/>
          </w:tcPr>
          <w:p w:rsidR="00CA2D13" w:rsidRPr="00A214B0" w:rsidRDefault="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折旧摊销</w:t>
            </w:r>
          </w:p>
        </w:tc>
        <w:tc>
          <w:tcPr>
            <w:tcW w:w="1113"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1,785.20</w:t>
            </w:r>
          </w:p>
        </w:tc>
        <w:tc>
          <w:tcPr>
            <w:tcW w:w="1114"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2,731.57</w:t>
            </w:r>
          </w:p>
        </w:tc>
        <w:tc>
          <w:tcPr>
            <w:tcW w:w="1114"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2,635.79</w:t>
            </w:r>
          </w:p>
        </w:tc>
        <w:tc>
          <w:tcPr>
            <w:tcW w:w="1112"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2,594.18</w:t>
            </w:r>
          </w:p>
        </w:tc>
        <w:tc>
          <w:tcPr>
            <w:tcW w:w="1114"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2,367.82</w:t>
            </w:r>
          </w:p>
        </w:tc>
        <w:tc>
          <w:tcPr>
            <w:tcW w:w="1114"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2,337.77</w:t>
            </w:r>
          </w:p>
        </w:tc>
        <w:tc>
          <w:tcPr>
            <w:tcW w:w="1114" w:type="dxa"/>
            <w:shd w:val="clear" w:color="auto" w:fill="auto"/>
            <w:noWrap/>
            <w:vAlign w:val="center"/>
          </w:tcPr>
          <w:p w:rsidR="00CA2D13" w:rsidRPr="00A214B0" w:rsidRDefault="00CA2D13" w:rsidP="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2,206.41</w:t>
            </w:r>
          </w:p>
        </w:tc>
      </w:tr>
    </w:tbl>
    <w:p w:rsidR="00AC5C30" w:rsidRPr="00A214B0" w:rsidRDefault="00AC5C30">
      <w:pPr>
        <w:pStyle w:val="aa"/>
        <w:adjustRightInd w:val="0"/>
        <w:snapToGrid w:val="0"/>
        <w:spacing w:line="360" w:lineRule="auto"/>
        <w:ind w:firstLineChars="200" w:firstLine="480"/>
        <w:rPr>
          <w:color w:val="000000" w:themeColor="text1"/>
          <w:sz w:val="24"/>
          <w:szCs w:val="22"/>
        </w:rPr>
      </w:pPr>
    </w:p>
    <w:p w:rsidR="00AC5C30" w:rsidRPr="00A214B0" w:rsidRDefault="00AC5C30" w:rsidP="00AC5C30">
      <w:pPr>
        <w:pStyle w:val="aa"/>
        <w:adjustRightInd w:val="0"/>
        <w:snapToGrid w:val="0"/>
        <w:spacing w:line="360" w:lineRule="auto"/>
        <w:ind w:firstLineChars="200" w:firstLine="480"/>
        <w:rPr>
          <w:color w:val="000000" w:themeColor="text1"/>
          <w:sz w:val="24"/>
          <w:szCs w:val="22"/>
        </w:rPr>
      </w:pPr>
      <w:r w:rsidRPr="00A214B0">
        <w:rPr>
          <w:rFonts w:hint="eastAsia"/>
          <w:color w:val="000000" w:themeColor="text1"/>
          <w:sz w:val="24"/>
          <w:szCs w:val="22"/>
        </w:rPr>
        <w:t>（</w:t>
      </w:r>
      <w:r w:rsidRPr="00A214B0">
        <w:rPr>
          <w:rFonts w:hint="eastAsia"/>
          <w:color w:val="000000" w:themeColor="text1"/>
          <w:sz w:val="24"/>
          <w:szCs w:val="22"/>
        </w:rPr>
        <w:t>8</w:t>
      </w:r>
      <w:r w:rsidRPr="00A214B0">
        <w:rPr>
          <w:rFonts w:hint="eastAsia"/>
          <w:color w:val="000000" w:themeColor="text1"/>
          <w:sz w:val="24"/>
          <w:szCs w:val="22"/>
        </w:rPr>
        <w:t>）所得税预测</w:t>
      </w:r>
    </w:p>
    <w:p w:rsidR="00AC5C30" w:rsidRPr="00A214B0" w:rsidRDefault="00AC5C30" w:rsidP="00AC5C30">
      <w:pPr>
        <w:pStyle w:val="aa"/>
        <w:adjustRightInd w:val="0"/>
        <w:snapToGrid w:val="0"/>
        <w:spacing w:line="360" w:lineRule="auto"/>
        <w:ind w:firstLineChars="200" w:firstLine="480"/>
        <w:rPr>
          <w:color w:val="000000" w:themeColor="text1"/>
          <w:sz w:val="24"/>
          <w:szCs w:val="22"/>
        </w:rPr>
      </w:pPr>
      <w:r w:rsidRPr="00A214B0">
        <w:rPr>
          <w:rFonts w:hint="eastAsia"/>
          <w:color w:val="000000" w:themeColor="text1"/>
          <w:sz w:val="24"/>
          <w:szCs w:val="22"/>
        </w:rPr>
        <w:t>海企仓储目前为高新企业，高新资质在</w:t>
      </w:r>
      <w:r w:rsidRPr="00A214B0">
        <w:rPr>
          <w:rFonts w:hint="eastAsia"/>
          <w:color w:val="000000" w:themeColor="text1"/>
          <w:sz w:val="24"/>
          <w:szCs w:val="22"/>
        </w:rPr>
        <w:t>2021</w:t>
      </w:r>
      <w:r w:rsidRPr="00A214B0">
        <w:rPr>
          <w:rFonts w:hint="eastAsia"/>
          <w:color w:val="000000" w:themeColor="text1"/>
          <w:sz w:val="24"/>
          <w:szCs w:val="22"/>
        </w:rPr>
        <w:t>年到期，本次预测证书有效期为</w:t>
      </w:r>
      <w:r w:rsidRPr="00A214B0">
        <w:rPr>
          <w:rFonts w:hint="eastAsia"/>
          <w:color w:val="000000" w:themeColor="text1"/>
          <w:sz w:val="24"/>
          <w:szCs w:val="22"/>
        </w:rPr>
        <w:t>15%</w:t>
      </w:r>
      <w:r w:rsidRPr="00A214B0">
        <w:rPr>
          <w:rFonts w:hint="eastAsia"/>
          <w:color w:val="000000" w:themeColor="text1"/>
          <w:sz w:val="24"/>
          <w:szCs w:val="22"/>
        </w:rPr>
        <w:t>，失效之后按照</w:t>
      </w:r>
      <w:r w:rsidRPr="00A214B0">
        <w:rPr>
          <w:rFonts w:hint="eastAsia"/>
          <w:color w:val="000000" w:themeColor="text1"/>
          <w:sz w:val="24"/>
          <w:szCs w:val="22"/>
        </w:rPr>
        <w:t>25%</w:t>
      </w:r>
      <w:r w:rsidRPr="00A214B0">
        <w:rPr>
          <w:rFonts w:hint="eastAsia"/>
          <w:color w:val="000000" w:themeColor="text1"/>
          <w:sz w:val="24"/>
          <w:szCs w:val="22"/>
        </w:rPr>
        <w:t>测算。另外根据财税〔</w:t>
      </w:r>
      <w:r w:rsidRPr="00A214B0">
        <w:rPr>
          <w:rFonts w:hint="eastAsia"/>
          <w:color w:val="000000" w:themeColor="text1"/>
          <w:sz w:val="24"/>
          <w:szCs w:val="22"/>
        </w:rPr>
        <w:t>2018</w:t>
      </w:r>
      <w:r w:rsidRPr="00A214B0">
        <w:rPr>
          <w:rFonts w:hint="eastAsia"/>
          <w:color w:val="000000" w:themeColor="text1"/>
          <w:sz w:val="24"/>
          <w:szCs w:val="22"/>
        </w:rPr>
        <w:t>〕</w:t>
      </w:r>
      <w:r w:rsidRPr="00A214B0">
        <w:rPr>
          <w:rFonts w:hint="eastAsia"/>
          <w:color w:val="000000" w:themeColor="text1"/>
          <w:sz w:val="24"/>
          <w:szCs w:val="22"/>
        </w:rPr>
        <w:t>99</w:t>
      </w:r>
      <w:r w:rsidRPr="00A214B0">
        <w:rPr>
          <w:rFonts w:hint="eastAsia"/>
          <w:color w:val="000000" w:themeColor="text1"/>
          <w:sz w:val="24"/>
          <w:szCs w:val="22"/>
        </w:rPr>
        <w:t>号文件，</w:t>
      </w:r>
      <w:r w:rsidRPr="00A214B0">
        <w:rPr>
          <w:rFonts w:hint="eastAsia"/>
          <w:color w:val="000000" w:themeColor="text1"/>
          <w:sz w:val="24"/>
          <w:szCs w:val="22"/>
        </w:rPr>
        <w:t>2020</w:t>
      </w:r>
      <w:r w:rsidRPr="00A214B0">
        <w:rPr>
          <w:rFonts w:hint="eastAsia"/>
          <w:color w:val="000000" w:themeColor="text1"/>
          <w:sz w:val="24"/>
          <w:szCs w:val="22"/>
        </w:rPr>
        <w:t>年之前，研发费加计扣除比例为</w:t>
      </w:r>
      <w:r w:rsidRPr="00A214B0">
        <w:rPr>
          <w:rFonts w:hint="eastAsia"/>
          <w:color w:val="000000" w:themeColor="text1"/>
          <w:sz w:val="24"/>
          <w:szCs w:val="22"/>
        </w:rPr>
        <w:t xml:space="preserve">75% </w:t>
      </w:r>
      <w:r w:rsidRPr="00A214B0">
        <w:rPr>
          <w:rFonts w:hint="eastAsia"/>
          <w:color w:val="000000" w:themeColor="text1"/>
          <w:sz w:val="24"/>
          <w:szCs w:val="22"/>
        </w:rPr>
        <w:t>，</w:t>
      </w:r>
      <w:r w:rsidRPr="00A214B0">
        <w:rPr>
          <w:rFonts w:hint="eastAsia"/>
          <w:color w:val="000000" w:themeColor="text1"/>
          <w:sz w:val="24"/>
          <w:szCs w:val="22"/>
        </w:rPr>
        <w:t>2020</w:t>
      </w:r>
      <w:r w:rsidRPr="00A214B0">
        <w:rPr>
          <w:rFonts w:hint="eastAsia"/>
          <w:color w:val="000000" w:themeColor="text1"/>
          <w:sz w:val="24"/>
          <w:szCs w:val="22"/>
        </w:rPr>
        <w:t>年以后恢复</w:t>
      </w:r>
      <w:r w:rsidRPr="00A214B0">
        <w:rPr>
          <w:rFonts w:hint="eastAsia"/>
          <w:color w:val="000000" w:themeColor="text1"/>
          <w:sz w:val="24"/>
          <w:szCs w:val="22"/>
        </w:rPr>
        <w:t>50%</w:t>
      </w:r>
      <w:r w:rsidRPr="00A214B0">
        <w:rPr>
          <w:rFonts w:hint="eastAsia"/>
          <w:color w:val="000000" w:themeColor="text1"/>
          <w:sz w:val="24"/>
          <w:szCs w:val="22"/>
        </w:rPr>
        <w:t>计算。净利润计算表如下</w:t>
      </w:r>
    </w:p>
    <w:tbl>
      <w:tblPr>
        <w:tblW w:w="5000" w:type="pct"/>
        <w:tblLayout w:type="fixed"/>
        <w:tblLook w:val="04A0" w:firstRow="1" w:lastRow="0" w:firstColumn="1" w:lastColumn="0" w:noHBand="0" w:noVBand="1"/>
      </w:tblPr>
      <w:tblGrid>
        <w:gridCol w:w="1957"/>
        <w:gridCol w:w="1014"/>
        <w:gridCol w:w="1014"/>
        <w:gridCol w:w="1013"/>
        <w:gridCol w:w="1013"/>
        <w:gridCol w:w="1013"/>
        <w:gridCol w:w="1013"/>
        <w:gridCol w:w="1012"/>
      </w:tblGrid>
      <w:tr w:rsidR="00AC5C30" w:rsidRPr="00A214B0" w:rsidTr="00CA2D13">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年</w:t>
            </w:r>
            <w:r w:rsidRPr="00A214B0">
              <w:rPr>
                <w:rFonts w:ascii="Arial Narrow" w:hAnsi="Arial Narrow"/>
                <w:color w:val="000000" w:themeColor="text1"/>
                <w:sz w:val="20"/>
                <w:szCs w:val="20"/>
              </w:rPr>
              <w:t xml:space="preserve">      </w:t>
            </w:r>
            <w:r w:rsidRPr="00A214B0">
              <w:rPr>
                <w:rFonts w:ascii="Arial Narrow" w:hAnsi="Arial Narrow" w:hint="eastAsia"/>
                <w:color w:val="000000" w:themeColor="text1"/>
                <w:sz w:val="20"/>
                <w:szCs w:val="20"/>
              </w:rPr>
              <w:t>份</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color w:val="000000" w:themeColor="text1"/>
                <w:sz w:val="20"/>
                <w:szCs w:val="20"/>
              </w:rPr>
              <w:t>2019</w:t>
            </w:r>
            <w:r w:rsidRPr="00A214B0">
              <w:rPr>
                <w:rFonts w:ascii="Arial Narrow" w:hAnsi="Arial Narrow"/>
                <w:color w:val="000000" w:themeColor="text1"/>
                <w:sz w:val="20"/>
                <w:szCs w:val="20"/>
              </w:rPr>
              <w:t>年</w:t>
            </w:r>
            <w:r w:rsidRPr="00A214B0">
              <w:rPr>
                <w:rFonts w:ascii="Arial Narrow" w:hAnsi="Arial Narrow"/>
                <w:color w:val="000000" w:themeColor="text1"/>
                <w:sz w:val="20"/>
                <w:szCs w:val="20"/>
              </w:rPr>
              <w:t>5-12</w:t>
            </w:r>
            <w:r w:rsidRPr="00A214B0">
              <w:rPr>
                <w:rFonts w:ascii="Arial Narrow" w:hAnsi="Arial Narrow"/>
                <w:color w:val="000000" w:themeColor="text1"/>
                <w:sz w:val="20"/>
                <w:szCs w:val="20"/>
              </w:rPr>
              <w:t>月</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color w:val="000000" w:themeColor="text1"/>
                <w:sz w:val="20"/>
                <w:szCs w:val="20"/>
              </w:rPr>
              <w:t>2020</w:t>
            </w:r>
            <w:r w:rsidRPr="00A214B0">
              <w:rPr>
                <w:rFonts w:ascii="Arial Narrow" w:hAnsi="Arial Narrow"/>
                <w:color w:val="000000" w:themeColor="text1"/>
                <w:sz w:val="20"/>
                <w:szCs w:val="20"/>
              </w:rPr>
              <w:t>年</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color w:val="000000" w:themeColor="text1"/>
                <w:sz w:val="20"/>
                <w:szCs w:val="20"/>
              </w:rPr>
              <w:t>2021</w:t>
            </w:r>
            <w:r w:rsidRPr="00A214B0">
              <w:rPr>
                <w:rFonts w:ascii="Arial Narrow" w:hAnsi="Arial Narrow"/>
                <w:color w:val="000000" w:themeColor="text1"/>
                <w:sz w:val="20"/>
                <w:szCs w:val="20"/>
              </w:rPr>
              <w:t>年</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color w:val="000000" w:themeColor="text1"/>
                <w:sz w:val="20"/>
                <w:szCs w:val="20"/>
              </w:rPr>
              <w:t>2022</w:t>
            </w:r>
            <w:r w:rsidRPr="00A214B0">
              <w:rPr>
                <w:rFonts w:ascii="Arial Narrow" w:hAnsi="Arial Narrow"/>
                <w:color w:val="000000" w:themeColor="text1"/>
                <w:sz w:val="20"/>
                <w:szCs w:val="20"/>
              </w:rPr>
              <w:t>年</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color w:val="000000" w:themeColor="text1"/>
                <w:sz w:val="20"/>
                <w:szCs w:val="20"/>
              </w:rPr>
              <w:t>2023</w:t>
            </w:r>
            <w:r w:rsidRPr="00A214B0">
              <w:rPr>
                <w:rFonts w:ascii="Arial Narrow" w:hAnsi="Arial Narrow"/>
                <w:color w:val="000000" w:themeColor="text1"/>
                <w:sz w:val="20"/>
                <w:szCs w:val="20"/>
              </w:rPr>
              <w:t>年</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color w:val="000000" w:themeColor="text1"/>
                <w:sz w:val="20"/>
                <w:szCs w:val="20"/>
              </w:rPr>
              <w:t>2024</w:t>
            </w:r>
            <w:r w:rsidRPr="00A214B0">
              <w:rPr>
                <w:rFonts w:ascii="Arial Narrow" w:hAnsi="Arial Narrow"/>
                <w:color w:val="000000" w:themeColor="text1"/>
                <w:sz w:val="20"/>
                <w:szCs w:val="20"/>
              </w:rPr>
              <w:t>年</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AC5C30" w:rsidRPr="00A214B0" w:rsidRDefault="00AC5C30"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永续</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一、营业收入</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5,748.94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10,629.18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11,266.93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11,830.28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12,303.49</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12,672.60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12,672.60</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主营业务收入</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5,748.94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10,629.18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11,266.93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11,830.28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12,303.49</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12,672.60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12,672.60</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其他业务收入</w:t>
            </w: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二、营业成本</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2,470.10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3,883.06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3,905.73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3,972.76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3,857.72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3,845.49</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3,699.64</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主营业务成本</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2,470.10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3,883.06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3,905.73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3,972.76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3,857.72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3,845.49</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3,699.64</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其他业务成本</w:t>
            </w: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营业税金及附加</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76.44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116.01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119.04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121.71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123.95</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125.70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125.70</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营业费用</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201.61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334.38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356.44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378.54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400.56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405.22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405.22</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管理费用</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1,126.45</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1,831.83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1,914.85</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2,002.38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2,087.43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2,108.42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2,122.90</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财务费用</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551.68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827.51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827.51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827.51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827.51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827.51</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827.51</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资产减值损失</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投资收益</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三、营业利润</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1,322.67</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3,636.40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4,143.37</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4,527.38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5,006.32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5,360.26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5,491.62</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营业外收入</w:t>
            </w: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营业外支出</w:t>
            </w: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c>
          <w:tcPr>
            <w:tcW w:w="560" w:type="pct"/>
            <w:tcBorders>
              <w:top w:val="nil"/>
              <w:left w:val="nil"/>
              <w:bottom w:val="single" w:sz="4" w:space="0" w:color="auto"/>
              <w:right w:val="single" w:sz="4" w:space="0" w:color="auto"/>
            </w:tcBorders>
            <w:shd w:val="clear" w:color="auto" w:fill="auto"/>
            <w:noWrap/>
            <w:vAlign w:val="center"/>
          </w:tcPr>
          <w:p w:rsidR="00CA2D13" w:rsidRPr="00A214B0" w:rsidRDefault="00CA2D13" w:rsidP="00CA2D13">
            <w:pPr>
              <w:jc w:val="center"/>
              <w:rPr>
                <w:rFonts w:ascii="Arial Narrow" w:eastAsia="宋体" w:hAnsi="Arial Narrow" w:cs="宋体"/>
                <w:szCs w:val="21"/>
              </w:rPr>
            </w:pP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四、利润总额</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1,322.67</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3,636.40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4,143.37</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4,527.38</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5,006.32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5,360.26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5,491.62</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减：所得税费用</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337.43</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474.30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581.96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1,061.52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1,176.65</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1,264.80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1,297.64</w:t>
            </w:r>
          </w:p>
        </w:tc>
      </w:tr>
      <w:tr w:rsidR="00CA2D13" w:rsidRPr="00A214B0" w:rsidTr="00CA2D13">
        <w:trPr>
          <w:trHeight w:val="255"/>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CA2D13" w:rsidRPr="00A214B0" w:rsidRDefault="00CA2D13" w:rsidP="00AC5C30">
            <w:pPr>
              <w:jc w:val="center"/>
              <w:rPr>
                <w:rFonts w:ascii="Arial Narrow" w:hAnsi="Arial Narrow"/>
                <w:color w:val="000000" w:themeColor="text1"/>
                <w:sz w:val="20"/>
                <w:szCs w:val="20"/>
              </w:rPr>
            </w:pPr>
            <w:r w:rsidRPr="00A214B0">
              <w:rPr>
                <w:rFonts w:ascii="Arial Narrow" w:hAnsi="Arial Narrow" w:hint="eastAsia"/>
                <w:color w:val="000000" w:themeColor="text1"/>
                <w:sz w:val="20"/>
                <w:szCs w:val="20"/>
              </w:rPr>
              <w:t>五、净利润</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985.24</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3,162.10</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3,561.42</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3,465.86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3,829.67</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4,095.46</w:t>
            </w:r>
          </w:p>
        </w:tc>
        <w:tc>
          <w:tcPr>
            <w:tcW w:w="560" w:type="pct"/>
            <w:tcBorders>
              <w:top w:val="nil"/>
              <w:left w:val="nil"/>
              <w:bottom w:val="single" w:sz="4" w:space="0" w:color="auto"/>
              <w:right w:val="single" w:sz="4" w:space="0" w:color="auto"/>
            </w:tcBorders>
            <w:shd w:val="clear" w:color="auto" w:fill="auto"/>
            <w:noWrap/>
            <w:vAlign w:val="center"/>
            <w:hideMark/>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4,193.98</w:t>
            </w:r>
          </w:p>
        </w:tc>
      </w:tr>
    </w:tbl>
    <w:p w:rsidR="00AC5C30" w:rsidRPr="00A214B0" w:rsidRDefault="00AC5C30" w:rsidP="00AC5C30">
      <w:pPr>
        <w:pStyle w:val="aa"/>
        <w:adjustRightInd w:val="0"/>
        <w:snapToGrid w:val="0"/>
        <w:spacing w:line="360" w:lineRule="auto"/>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w:t>
      </w:r>
      <w:r w:rsidR="00E13447" w:rsidRPr="00A214B0">
        <w:rPr>
          <w:color w:val="000000" w:themeColor="text1"/>
          <w:sz w:val="24"/>
          <w:szCs w:val="22"/>
        </w:rPr>
        <w:t>9</w:t>
      </w:r>
      <w:r w:rsidRPr="00A214B0">
        <w:rPr>
          <w:color w:val="000000" w:themeColor="text1"/>
          <w:sz w:val="24"/>
          <w:szCs w:val="22"/>
        </w:rPr>
        <w:t>）资本性支出预测。</w:t>
      </w:r>
    </w:p>
    <w:p w:rsidR="00D56508" w:rsidRPr="00A214B0" w:rsidRDefault="00F1265B" w:rsidP="000B6F4D">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资本性支出主要</w:t>
      </w:r>
      <w:r w:rsidR="00E13447" w:rsidRPr="00A214B0">
        <w:rPr>
          <w:rFonts w:hint="eastAsia"/>
          <w:color w:val="000000" w:themeColor="text1"/>
          <w:sz w:val="24"/>
          <w:szCs w:val="22"/>
        </w:rPr>
        <w:t>是</w:t>
      </w:r>
      <w:r w:rsidRPr="00A214B0">
        <w:rPr>
          <w:color w:val="000000" w:themeColor="text1"/>
          <w:sz w:val="24"/>
          <w:szCs w:val="22"/>
        </w:rPr>
        <w:t>存量资产的更新。存量资产更新的预测是根据存量资产的经济使用年限进行测算。</w:t>
      </w:r>
      <w:r w:rsidR="000B6F4D" w:rsidRPr="00A214B0">
        <w:rPr>
          <w:rFonts w:hint="eastAsia"/>
          <w:color w:val="000000" w:themeColor="text1"/>
          <w:sz w:val="24"/>
          <w:szCs w:val="22"/>
        </w:rPr>
        <w:t>永续期资本性支出按照各项长期类资产经济使用年限，在折现率下等效成每年相同金额的一笔支出。</w:t>
      </w:r>
      <w:r w:rsidRPr="00A214B0">
        <w:rPr>
          <w:color w:val="000000" w:themeColor="text1"/>
          <w:sz w:val="24"/>
          <w:szCs w:val="22"/>
        </w:rPr>
        <w:t>资产的资本性支出预测如下：</w:t>
      </w:r>
    </w:p>
    <w:p w:rsidR="00D56508" w:rsidRPr="00A214B0" w:rsidRDefault="00F1265B">
      <w:pPr>
        <w:spacing w:line="300" w:lineRule="auto"/>
        <w:ind w:firstLineChars="200" w:firstLine="480"/>
        <w:jc w:val="right"/>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金额单位：万元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13"/>
        <w:gridCol w:w="1114"/>
        <w:gridCol w:w="1114"/>
        <w:gridCol w:w="1112"/>
        <w:gridCol w:w="1114"/>
        <w:gridCol w:w="1114"/>
        <w:gridCol w:w="1114"/>
      </w:tblGrid>
      <w:tr w:rsidR="00E13447" w:rsidRPr="00A214B0" w:rsidTr="001D0134">
        <w:trPr>
          <w:trHeight w:val="540"/>
        </w:trPr>
        <w:tc>
          <w:tcPr>
            <w:tcW w:w="1278" w:type="dxa"/>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收入</w:t>
            </w:r>
          </w:p>
        </w:tc>
        <w:tc>
          <w:tcPr>
            <w:tcW w:w="1113"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12"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c>
          <w:tcPr>
            <w:tcW w:w="1114"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永续期</w:t>
            </w:r>
          </w:p>
        </w:tc>
      </w:tr>
      <w:tr w:rsidR="00CA2D13" w:rsidRPr="00A214B0" w:rsidTr="00CA2D13">
        <w:trPr>
          <w:trHeight w:val="300"/>
        </w:trPr>
        <w:tc>
          <w:tcPr>
            <w:tcW w:w="1278" w:type="dxa"/>
            <w:vAlign w:val="center"/>
          </w:tcPr>
          <w:p w:rsidR="00CA2D13" w:rsidRPr="00A214B0" w:rsidRDefault="00CA2D13">
            <w:pPr>
              <w:widowControl/>
              <w:jc w:val="center"/>
              <w:rPr>
                <w:rFonts w:ascii="Times New Roman" w:eastAsia="宋体" w:hAnsi="Times New Roman" w:cs="Times New Roman"/>
                <w:color w:val="000000" w:themeColor="text1"/>
                <w:kern w:val="0"/>
                <w:sz w:val="20"/>
                <w:szCs w:val="20"/>
              </w:rPr>
            </w:pPr>
            <w:r w:rsidRPr="00A214B0">
              <w:rPr>
                <w:rFonts w:ascii="Times New Roman" w:eastAsia="宋体" w:hAnsi="Times New Roman" w:cs="Times New Roman"/>
                <w:color w:val="000000" w:themeColor="text1"/>
                <w:kern w:val="0"/>
                <w:sz w:val="20"/>
                <w:szCs w:val="20"/>
              </w:rPr>
              <w:t>资本性支出</w:t>
            </w:r>
          </w:p>
        </w:tc>
        <w:tc>
          <w:tcPr>
            <w:tcW w:w="1113"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25.41</w:t>
            </w:r>
          </w:p>
        </w:tc>
        <w:tc>
          <w:tcPr>
            <w:tcW w:w="1114"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53.22</w:t>
            </w:r>
          </w:p>
        </w:tc>
        <w:tc>
          <w:tcPr>
            <w:tcW w:w="1114"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31.04</w:t>
            </w:r>
          </w:p>
        </w:tc>
        <w:tc>
          <w:tcPr>
            <w:tcW w:w="1112"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76.17</w:t>
            </w:r>
          </w:p>
        </w:tc>
        <w:tc>
          <w:tcPr>
            <w:tcW w:w="1114"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168.20</w:t>
            </w:r>
          </w:p>
        </w:tc>
        <w:tc>
          <w:tcPr>
            <w:tcW w:w="1114"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87.97</w:t>
            </w:r>
          </w:p>
        </w:tc>
        <w:tc>
          <w:tcPr>
            <w:tcW w:w="1114" w:type="dxa"/>
            <w:shd w:val="clear" w:color="auto" w:fill="auto"/>
            <w:noWrap/>
            <w:vAlign w:val="center"/>
          </w:tcPr>
          <w:p w:rsidR="00CA2D13" w:rsidRPr="00A214B0" w:rsidRDefault="00CA2D13" w:rsidP="00CA2D13">
            <w:pPr>
              <w:jc w:val="center"/>
              <w:rPr>
                <w:rFonts w:ascii="Arial Narrow" w:eastAsia="宋体" w:hAnsi="Arial Narrow" w:cs="宋体"/>
                <w:szCs w:val="21"/>
              </w:rPr>
            </w:pPr>
            <w:r w:rsidRPr="00A214B0">
              <w:rPr>
                <w:rFonts w:ascii="Arial Narrow" w:hAnsi="Arial Narrow"/>
                <w:szCs w:val="21"/>
              </w:rPr>
              <w:t>2,030.09</w:t>
            </w:r>
          </w:p>
        </w:tc>
      </w:tr>
    </w:tbl>
    <w:p w:rsidR="00D56508" w:rsidRPr="00A214B0" w:rsidRDefault="00D56508">
      <w:pPr>
        <w:pStyle w:val="a1"/>
        <w:rPr>
          <w:color w:val="000000" w:themeColor="text1"/>
        </w:rPr>
      </w:pPr>
    </w:p>
    <w:p w:rsidR="00D56508" w:rsidRPr="00A214B0" w:rsidRDefault="00E13447">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(10</w:t>
      </w:r>
      <w:r w:rsidR="00F1265B" w:rsidRPr="00A214B0">
        <w:rPr>
          <w:color w:val="000000" w:themeColor="text1"/>
          <w:sz w:val="24"/>
          <w:szCs w:val="22"/>
        </w:rPr>
        <w:t>)</w:t>
      </w:r>
      <w:r w:rsidR="00F1265B" w:rsidRPr="00A214B0">
        <w:rPr>
          <w:color w:val="000000" w:themeColor="text1"/>
          <w:sz w:val="24"/>
          <w:szCs w:val="22"/>
        </w:rPr>
        <w:t>营运资金预测、营运资金增加额的确定。</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营运资金是指随着企业经营活动的变化，获取他人的商业信用而占用的现金，正常经营所需保持的现金等；同时，在经济活动中，提供商业信用，相应可以减少现金的即时支付。</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通常其他应收款和其他应付款核算内容绝大多数为关联方的或非经营性的往来，不将其作为营运资金。估算营运资金增量原则上只需考虑正常经营所需保持的存货、应收款项、预付款项和应付款项、预收账款等主要因素。应交税金和应付职工薪酬等多为经营中发生，且周转相对较快，因此也将其作为营运资金考虑。</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营运资金增量</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当期营运资金</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上期营运资金</w:t>
      </w:r>
    </w:p>
    <w:p w:rsidR="00D56508" w:rsidRPr="00A214B0" w:rsidRDefault="00F1265B">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经了解，海企仓储经营性流动资产包括必要现金、预付款项、应收账款、存货等。经营性流动负债包括应付职工薪酬、应交税费和应付账款等。其中，经营性现金是考虑最低现金保有量确定，最低现金保有量以基准日企业月需现金量确定，月需现金量</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企业月销售成本</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月税金及附加</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月销售费用</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月管理费用</w:t>
      </w:r>
      <w:r w:rsidRPr="00A214B0">
        <w:rPr>
          <w:rFonts w:ascii="Times New Roman" w:eastAsia="宋体" w:hAnsi="Times New Roman" w:cs="Times New Roman"/>
          <w:color w:val="000000" w:themeColor="text1"/>
          <w:sz w:val="24"/>
          <w:szCs w:val="24"/>
        </w:rPr>
        <w:t>+</w:t>
      </w:r>
      <w:r w:rsidRPr="00A214B0">
        <w:rPr>
          <w:rFonts w:ascii="Times New Roman" w:eastAsia="宋体" w:hAnsi="Times New Roman" w:cs="Times New Roman"/>
          <w:color w:val="000000" w:themeColor="text1"/>
          <w:sz w:val="24"/>
          <w:szCs w:val="24"/>
        </w:rPr>
        <w:t>月财务费用。本次评估参照历史年度测算的运营资金构成科目占当期销售收入、销售成本的比例均值和未来销售收入、成本对未来年度的运营资金进行预测。</w:t>
      </w:r>
      <w:r w:rsidRPr="00A214B0">
        <w:rPr>
          <w:rFonts w:ascii="Times New Roman" w:eastAsia="宋体" w:hAnsi="Times New Roman" w:cs="Times New Roman"/>
          <w:color w:val="000000" w:themeColor="text1"/>
          <w:sz w:val="24"/>
          <w:szCs w:val="24"/>
        </w:rPr>
        <w:t>2024</w:t>
      </w:r>
      <w:r w:rsidRPr="00A214B0">
        <w:rPr>
          <w:rFonts w:ascii="Times New Roman" w:eastAsia="宋体" w:hAnsi="Times New Roman" w:cs="Times New Roman"/>
          <w:color w:val="000000" w:themeColor="text1"/>
          <w:sz w:val="24"/>
          <w:szCs w:val="24"/>
        </w:rPr>
        <w:t>年及其以后因收入不再变化，因此运营资金增量为零。</w:t>
      </w:r>
      <w:r w:rsidRPr="00A214B0">
        <w:rPr>
          <w:rFonts w:ascii="Times New Roman" w:eastAsia="宋体" w:hAnsi="Times New Roman" w:cs="Times New Roman"/>
          <w:color w:val="000000" w:themeColor="text1"/>
          <w:sz w:val="24"/>
          <w:szCs w:val="24"/>
        </w:rPr>
        <w:t xml:space="preserve"> </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被评估企业评估基准日营运资金情况如下：</w:t>
      </w:r>
    </w:p>
    <w:p w:rsidR="00D56508" w:rsidRPr="00A214B0" w:rsidRDefault="00F1265B">
      <w:pPr>
        <w:jc w:val="right"/>
        <w:rPr>
          <w:rFonts w:ascii="Times New Roman" w:eastAsia="宋体" w:hAnsi="Times New Roman" w:cs="Times New Roman"/>
          <w:color w:val="000000" w:themeColor="text1"/>
          <w:sz w:val="24"/>
          <w:szCs w:val="24"/>
        </w:rPr>
      </w:pPr>
      <w:r w:rsidRPr="00A214B0">
        <w:rPr>
          <w:rFonts w:ascii="Times New Roman" w:eastAsia="宋体" w:hAnsi="Times New Roman" w:cs="Times New Roman"/>
          <w:color w:val="000000" w:themeColor="text1"/>
          <w:sz w:val="24"/>
          <w:szCs w:val="24"/>
        </w:rPr>
        <w:t>金额单位：万元</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139"/>
        <w:gridCol w:w="1140"/>
        <w:gridCol w:w="1138"/>
        <w:gridCol w:w="1136"/>
        <w:gridCol w:w="1136"/>
        <w:gridCol w:w="1125"/>
      </w:tblGrid>
      <w:tr w:rsidR="00E13447" w:rsidRPr="00A214B0">
        <w:trPr>
          <w:trHeight w:val="540"/>
          <w:jc w:val="center"/>
        </w:trPr>
        <w:tc>
          <w:tcPr>
            <w:tcW w:w="2361" w:type="dxa"/>
            <w:shd w:val="clear" w:color="auto" w:fill="auto"/>
            <w:vAlign w:val="center"/>
          </w:tcPr>
          <w:p w:rsidR="00D56508" w:rsidRPr="00A214B0" w:rsidRDefault="00F1265B">
            <w:pPr>
              <w:pStyle w:val="a1"/>
              <w:ind w:firstLineChars="200" w:firstLine="361"/>
              <w:rPr>
                <w:color w:val="000000" w:themeColor="text1"/>
                <w:sz w:val="18"/>
                <w:szCs w:val="18"/>
                <w:lang w:val="en-US"/>
              </w:rPr>
            </w:pPr>
            <w:r w:rsidRPr="00A214B0">
              <w:rPr>
                <w:b/>
                <w:bCs/>
                <w:color w:val="000000" w:themeColor="text1"/>
                <w:kern w:val="0"/>
                <w:sz w:val="18"/>
                <w:szCs w:val="18"/>
                <w:lang w:val="en-US"/>
              </w:rPr>
              <w:t>名称</w:t>
            </w:r>
          </w:p>
        </w:tc>
        <w:tc>
          <w:tcPr>
            <w:tcW w:w="1139" w:type="dxa"/>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2019</w:t>
            </w:r>
            <w:r w:rsidRPr="00A214B0">
              <w:rPr>
                <w:rFonts w:ascii="Times New Roman" w:eastAsia="宋体" w:hAnsi="Times New Roman" w:cs="Times New Roman"/>
                <w:b/>
                <w:bCs/>
                <w:color w:val="000000" w:themeColor="text1"/>
                <w:kern w:val="0"/>
                <w:sz w:val="20"/>
                <w:szCs w:val="20"/>
              </w:rPr>
              <w:t>年</w:t>
            </w:r>
            <w:r w:rsidRPr="00A214B0">
              <w:rPr>
                <w:rFonts w:ascii="Times New Roman" w:eastAsia="宋体" w:hAnsi="Times New Roman" w:cs="Times New Roman"/>
                <w:b/>
                <w:bCs/>
                <w:color w:val="000000" w:themeColor="text1"/>
                <w:kern w:val="0"/>
                <w:sz w:val="20"/>
                <w:szCs w:val="20"/>
              </w:rPr>
              <w:t>5-12</w:t>
            </w:r>
            <w:r w:rsidRPr="00A214B0">
              <w:rPr>
                <w:rFonts w:ascii="Times New Roman" w:eastAsia="宋体" w:hAnsi="Times New Roman" w:cs="Times New Roman"/>
                <w:b/>
                <w:bCs/>
                <w:color w:val="000000" w:themeColor="text1"/>
                <w:kern w:val="0"/>
                <w:sz w:val="20"/>
                <w:szCs w:val="20"/>
              </w:rPr>
              <w:t>月</w:t>
            </w:r>
          </w:p>
        </w:tc>
        <w:tc>
          <w:tcPr>
            <w:tcW w:w="1140"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2020</w:t>
            </w:r>
            <w:r w:rsidRPr="00A214B0">
              <w:rPr>
                <w:rFonts w:ascii="Times New Roman" w:eastAsia="宋体" w:hAnsi="Times New Roman" w:cs="Times New Roman"/>
                <w:b/>
                <w:bCs/>
                <w:color w:val="000000" w:themeColor="text1"/>
                <w:kern w:val="0"/>
                <w:sz w:val="20"/>
                <w:szCs w:val="20"/>
              </w:rPr>
              <w:t>年</w:t>
            </w:r>
          </w:p>
        </w:tc>
        <w:tc>
          <w:tcPr>
            <w:tcW w:w="1138"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2021</w:t>
            </w:r>
            <w:r w:rsidRPr="00A214B0">
              <w:rPr>
                <w:rFonts w:ascii="Times New Roman" w:eastAsia="宋体" w:hAnsi="Times New Roman" w:cs="Times New Roman"/>
                <w:b/>
                <w:bCs/>
                <w:color w:val="000000" w:themeColor="text1"/>
                <w:kern w:val="0"/>
                <w:sz w:val="20"/>
                <w:szCs w:val="20"/>
              </w:rPr>
              <w:t>年</w:t>
            </w:r>
          </w:p>
        </w:tc>
        <w:tc>
          <w:tcPr>
            <w:tcW w:w="113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2022</w:t>
            </w:r>
            <w:r w:rsidRPr="00A214B0">
              <w:rPr>
                <w:rFonts w:ascii="Times New Roman" w:eastAsia="宋体" w:hAnsi="Times New Roman" w:cs="Times New Roman"/>
                <w:b/>
                <w:bCs/>
                <w:color w:val="000000" w:themeColor="text1"/>
                <w:kern w:val="0"/>
                <w:sz w:val="20"/>
                <w:szCs w:val="20"/>
              </w:rPr>
              <w:t>年</w:t>
            </w:r>
          </w:p>
        </w:tc>
        <w:tc>
          <w:tcPr>
            <w:tcW w:w="1136"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2023</w:t>
            </w:r>
            <w:r w:rsidRPr="00A214B0">
              <w:rPr>
                <w:rFonts w:ascii="Times New Roman" w:eastAsia="宋体" w:hAnsi="Times New Roman" w:cs="Times New Roman"/>
                <w:b/>
                <w:bCs/>
                <w:color w:val="000000" w:themeColor="text1"/>
                <w:kern w:val="0"/>
                <w:sz w:val="20"/>
                <w:szCs w:val="20"/>
              </w:rPr>
              <w:t>年</w:t>
            </w:r>
          </w:p>
        </w:tc>
        <w:tc>
          <w:tcPr>
            <w:tcW w:w="1125" w:type="dxa"/>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20"/>
                <w:szCs w:val="20"/>
              </w:rPr>
            </w:pPr>
            <w:r w:rsidRPr="00A214B0">
              <w:rPr>
                <w:rFonts w:ascii="Times New Roman" w:eastAsia="宋体" w:hAnsi="Times New Roman" w:cs="Times New Roman"/>
                <w:b/>
                <w:bCs/>
                <w:color w:val="000000" w:themeColor="text1"/>
                <w:kern w:val="0"/>
                <w:sz w:val="20"/>
                <w:szCs w:val="20"/>
              </w:rPr>
              <w:t>2024</w:t>
            </w:r>
            <w:r w:rsidRPr="00A214B0">
              <w:rPr>
                <w:rFonts w:ascii="Times New Roman" w:eastAsia="宋体" w:hAnsi="Times New Roman" w:cs="Times New Roman"/>
                <w:b/>
                <w:bCs/>
                <w:color w:val="000000" w:themeColor="text1"/>
                <w:kern w:val="0"/>
                <w:sz w:val="20"/>
                <w:szCs w:val="20"/>
              </w:rPr>
              <w:t>年</w:t>
            </w:r>
          </w:p>
        </w:tc>
      </w:tr>
      <w:tr w:rsidR="00E13447" w:rsidRPr="00A214B0" w:rsidTr="00E13447">
        <w:trPr>
          <w:trHeight w:val="255"/>
          <w:jc w:val="center"/>
        </w:trPr>
        <w:tc>
          <w:tcPr>
            <w:tcW w:w="2361" w:type="dxa"/>
            <w:shd w:val="clear" w:color="auto" w:fill="auto"/>
            <w:noWrap/>
            <w:vAlign w:val="center"/>
          </w:tcPr>
          <w:p w:rsidR="00E13447" w:rsidRPr="00A214B0" w:rsidRDefault="00E13447">
            <w:pPr>
              <w:widowControl/>
              <w:jc w:val="left"/>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流动资金</w:t>
            </w:r>
          </w:p>
        </w:tc>
        <w:tc>
          <w:tcPr>
            <w:tcW w:w="1139" w:type="dxa"/>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661.92</w:t>
            </w:r>
          </w:p>
        </w:tc>
        <w:tc>
          <w:tcPr>
            <w:tcW w:w="1140"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761.17</w:t>
            </w:r>
          </w:p>
        </w:tc>
        <w:tc>
          <w:tcPr>
            <w:tcW w:w="1138"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849.70</w:t>
            </w:r>
          </w:p>
        </w:tc>
        <w:tc>
          <w:tcPr>
            <w:tcW w:w="1136"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924.73</w:t>
            </w:r>
          </w:p>
        </w:tc>
        <w:tc>
          <w:tcPr>
            <w:tcW w:w="1136"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1,008.56</w:t>
            </w:r>
          </w:p>
        </w:tc>
        <w:tc>
          <w:tcPr>
            <w:tcW w:w="1125"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1,055.28</w:t>
            </w:r>
          </w:p>
        </w:tc>
      </w:tr>
      <w:tr w:rsidR="00E13447" w:rsidRPr="00A214B0" w:rsidTr="00E13447">
        <w:trPr>
          <w:trHeight w:val="255"/>
          <w:jc w:val="center"/>
        </w:trPr>
        <w:tc>
          <w:tcPr>
            <w:tcW w:w="2361" w:type="dxa"/>
            <w:shd w:val="clear" w:color="auto" w:fill="auto"/>
            <w:noWrap/>
            <w:vAlign w:val="center"/>
          </w:tcPr>
          <w:p w:rsidR="00E13447" w:rsidRPr="00A214B0" w:rsidRDefault="00E13447">
            <w:pPr>
              <w:widowControl/>
              <w:jc w:val="left"/>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流动资金本年增加额</w:t>
            </w:r>
          </w:p>
        </w:tc>
        <w:tc>
          <w:tcPr>
            <w:tcW w:w="1139" w:type="dxa"/>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12.92</w:t>
            </w:r>
          </w:p>
        </w:tc>
        <w:tc>
          <w:tcPr>
            <w:tcW w:w="1140"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99.26</w:t>
            </w:r>
          </w:p>
        </w:tc>
        <w:tc>
          <w:tcPr>
            <w:tcW w:w="1138"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88.53</w:t>
            </w:r>
          </w:p>
        </w:tc>
        <w:tc>
          <w:tcPr>
            <w:tcW w:w="1136"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75.03</w:t>
            </w:r>
          </w:p>
        </w:tc>
        <w:tc>
          <w:tcPr>
            <w:tcW w:w="1136"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83.83</w:t>
            </w:r>
          </w:p>
        </w:tc>
        <w:tc>
          <w:tcPr>
            <w:tcW w:w="1125" w:type="dxa"/>
            <w:shd w:val="clear" w:color="auto" w:fill="auto"/>
            <w:noWrap/>
            <w:vAlign w:val="center"/>
          </w:tcPr>
          <w:p w:rsidR="00E13447" w:rsidRPr="00A214B0" w:rsidRDefault="00E13447" w:rsidP="00E13447">
            <w:pPr>
              <w:jc w:val="center"/>
              <w:rPr>
                <w:rFonts w:ascii="Times New Roman" w:eastAsia="宋体" w:hAnsi="Times New Roman" w:cs="Times New Roman"/>
                <w:color w:val="000000" w:themeColor="text1"/>
                <w:sz w:val="20"/>
                <w:szCs w:val="20"/>
              </w:rPr>
            </w:pPr>
            <w:r w:rsidRPr="00A214B0">
              <w:rPr>
                <w:rFonts w:ascii="Times New Roman" w:hAnsi="Times New Roman" w:cs="Times New Roman"/>
                <w:color w:val="000000" w:themeColor="text1"/>
                <w:sz w:val="20"/>
                <w:szCs w:val="20"/>
              </w:rPr>
              <w:t>46.72</w:t>
            </w:r>
          </w:p>
        </w:tc>
      </w:tr>
    </w:tbl>
    <w:p w:rsidR="00D56508" w:rsidRPr="00A214B0" w:rsidRDefault="00D56508">
      <w:pPr>
        <w:pStyle w:val="aa"/>
        <w:adjustRightInd w:val="0"/>
        <w:snapToGrid w:val="0"/>
        <w:spacing w:line="360" w:lineRule="auto"/>
        <w:rPr>
          <w:color w:val="000000" w:themeColor="text1"/>
          <w:sz w:val="24"/>
          <w:szCs w:val="22"/>
        </w:rPr>
      </w:pPr>
    </w:p>
    <w:p w:rsidR="00D56508" w:rsidRPr="00A214B0" w:rsidRDefault="00DF4E61">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w:t>
      </w:r>
      <w:r w:rsidRPr="00A214B0">
        <w:rPr>
          <w:rFonts w:hint="eastAsia"/>
          <w:color w:val="000000" w:themeColor="text1"/>
          <w:sz w:val="24"/>
          <w:szCs w:val="22"/>
        </w:rPr>
        <w:t>四</w:t>
      </w:r>
      <w:r w:rsidR="00F1265B" w:rsidRPr="00A214B0">
        <w:rPr>
          <w:color w:val="000000" w:themeColor="text1"/>
          <w:sz w:val="24"/>
          <w:szCs w:val="22"/>
        </w:rPr>
        <w:t>）折现率的确定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bookmarkStart w:id="115" w:name="_Toc312703585"/>
      <w:r w:rsidRPr="00A214B0">
        <w:rPr>
          <w:color w:val="000000" w:themeColor="text1"/>
          <w:sz w:val="24"/>
          <w:szCs w:val="24"/>
        </w:rPr>
        <w:t>按照收益额与折现率口径一致的原则，本次评估收益额口径为企业现金流量，则折</w:t>
      </w:r>
      <w:r w:rsidRPr="00A214B0">
        <w:rPr>
          <w:color w:val="000000" w:themeColor="text1"/>
          <w:sz w:val="24"/>
          <w:szCs w:val="24"/>
        </w:rPr>
        <w:t xml:space="preserve">  </w:t>
      </w:r>
      <w:r w:rsidRPr="00A214B0">
        <w:rPr>
          <w:color w:val="000000" w:themeColor="text1"/>
          <w:sz w:val="24"/>
          <w:szCs w:val="24"/>
        </w:rPr>
        <w:t>现率选取加权平均资本成本</w:t>
      </w:r>
      <w:r w:rsidRPr="00A214B0">
        <w:rPr>
          <w:color w:val="000000" w:themeColor="text1"/>
          <w:sz w:val="24"/>
          <w:szCs w:val="24"/>
        </w:rPr>
        <w:t>(WACC)</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公式：</w:t>
      </w:r>
      <w:r w:rsidRPr="00A214B0">
        <w:rPr>
          <w:color w:val="000000" w:themeColor="text1"/>
          <w:sz w:val="24"/>
          <w:szCs w:val="24"/>
        </w:rPr>
        <w:t>WACC=Ke×E/(D+E)+ Kd×D/(D+E)×(1</w:t>
      </w:r>
      <w:r w:rsidRPr="00A214B0">
        <w:rPr>
          <w:color w:val="000000" w:themeColor="text1"/>
          <w:sz w:val="24"/>
          <w:szCs w:val="24"/>
        </w:rPr>
        <w:t>－</w:t>
      </w:r>
      <w:r w:rsidRPr="00A214B0">
        <w:rPr>
          <w:color w:val="000000" w:themeColor="text1"/>
          <w:sz w:val="24"/>
          <w:szCs w:val="24"/>
        </w:rPr>
        <w:t>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式中：</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 xml:space="preserve">Ke </w:t>
      </w:r>
      <w:r w:rsidRPr="00A214B0">
        <w:rPr>
          <w:color w:val="000000" w:themeColor="text1"/>
          <w:sz w:val="24"/>
          <w:szCs w:val="24"/>
        </w:rPr>
        <w:t>为权益资本成本；</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 xml:space="preserve">Kd </w:t>
      </w:r>
      <w:r w:rsidRPr="00A214B0">
        <w:rPr>
          <w:color w:val="000000" w:themeColor="text1"/>
          <w:sz w:val="24"/>
          <w:szCs w:val="24"/>
        </w:rPr>
        <w:t>为债务资本成本；</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D/E</w:t>
      </w:r>
      <w:r w:rsidRPr="00A214B0">
        <w:rPr>
          <w:color w:val="000000" w:themeColor="text1"/>
          <w:sz w:val="24"/>
          <w:szCs w:val="24"/>
        </w:rPr>
        <w:t>：根据市场价值估计的被估企业的目标债务与股权比率；</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 xml:space="preserve">T </w:t>
      </w:r>
      <w:r w:rsidRPr="00A214B0">
        <w:rPr>
          <w:color w:val="000000" w:themeColor="text1"/>
          <w:sz w:val="24"/>
          <w:szCs w:val="24"/>
        </w:rPr>
        <w:t>为所得税率</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其中：</w:t>
      </w:r>
      <w:r w:rsidRPr="00A214B0">
        <w:rPr>
          <w:color w:val="000000" w:themeColor="text1"/>
          <w:sz w:val="24"/>
          <w:szCs w:val="24"/>
        </w:rPr>
        <w:t>Ke=Rf+β×ERP+Rc</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Rf=</w:t>
      </w:r>
      <w:r w:rsidRPr="00A214B0">
        <w:rPr>
          <w:color w:val="000000" w:themeColor="text1"/>
          <w:sz w:val="24"/>
          <w:szCs w:val="24"/>
        </w:rPr>
        <w:t>无风险报酬率；</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β=</w:t>
      </w:r>
      <w:r w:rsidRPr="00A214B0">
        <w:rPr>
          <w:color w:val="000000" w:themeColor="text1"/>
          <w:sz w:val="24"/>
          <w:szCs w:val="24"/>
        </w:rPr>
        <w:t>企业风险系数；</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ERP=</w:t>
      </w:r>
      <w:r w:rsidRPr="00A214B0">
        <w:rPr>
          <w:color w:val="000000" w:themeColor="text1"/>
          <w:sz w:val="24"/>
          <w:szCs w:val="24"/>
        </w:rPr>
        <w:t>市场风险溢价；</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Rc =</w:t>
      </w:r>
      <w:r w:rsidRPr="00A214B0">
        <w:rPr>
          <w:color w:val="000000" w:themeColor="text1"/>
          <w:sz w:val="24"/>
          <w:szCs w:val="24"/>
        </w:rPr>
        <w:t>企业特定风险调整系数。</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1</w:t>
      </w:r>
      <w:r w:rsidRPr="00A214B0">
        <w:rPr>
          <w:color w:val="000000" w:themeColor="text1"/>
          <w:sz w:val="24"/>
          <w:szCs w:val="24"/>
        </w:rPr>
        <w:t>、权益资本成本</w:t>
      </w:r>
      <w:r w:rsidRPr="00A214B0">
        <w:rPr>
          <w:color w:val="000000" w:themeColor="text1"/>
          <w:sz w:val="24"/>
          <w:szCs w:val="24"/>
        </w:rPr>
        <w:t xml:space="preserve"> Ke </w:t>
      </w:r>
      <w:r w:rsidRPr="00A214B0">
        <w:rPr>
          <w:color w:val="000000" w:themeColor="text1"/>
          <w:sz w:val="24"/>
          <w:szCs w:val="24"/>
        </w:rPr>
        <w:t>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(1)</w:t>
      </w:r>
      <w:r w:rsidRPr="00A214B0">
        <w:rPr>
          <w:color w:val="000000" w:themeColor="text1"/>
          <w:sz w:val="24"/>
          <w:szCs w:val="24"/>
        </w:rPr>
        <w:t>无风险报酬率</w:t>
      </w:r>
      <w:r w:rsidRPr="00A214B0">
        <w:rPr>
          <w:color w:val="000000" w:themeColor="text1"/>
          <w:sz w:val="24"/>
          <w:szCs w:val="24"/>
        </w:rPr>
        <w:t xml:space="preserve"> Rf </w:t>
      </w:r>
      <w:r w:rsidRPr="00A214B0">
        <w:rPr>
          <w:color w:val="000000" w:themeColor="text1"/>
          <w:sz w:val="24"/>
          <w:szCs w:val="24"/>
        </w:rPr>
        <w:t>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无风险报酬率</w:t>
      </w:r>
      <w:r w:rsidRPr="00A214B0">
        <w:rPr>
          <w:color w:val="000000" w:themeColor="text1"/>
          <w:sz w:val="24"/>
          <w:szCs w:val="24"/>
        </w:rPr>
        <w:t xml:space="preserve"> Rf </w:t>
      </w:r>
      <w:r w:rsidRPr="00A214B0">
        <w:rPr>
          <w:color w:val="000000" w:themeColor="text1"/>
          <w:sz w:val="24"/>
          <w:szCs w:val="24"/>
        </w:rPr>
        <w:t>采用国债的到期收益率</w:t>
      </w:r>
      <w:r w:rsidRPr="00A214B0">
        <w:rPr>
          <w:color w:val="000000" w:themeColor="text1"/>
          <w:sz w:val="24"/>
          <w:szCs w:val="24"/>
        </w:rPr>
        <w:t>(Yield to Maturate Rate)</w:t>
      </w:r>
      <w:r w:rsidRPr="00A214B0">
        <w:rPr>
          <w:color w:val="000000" w:themeColor="text1"/>
          <w:sz w:val="24"/>
          <w:szCs w:val="24"/>
        </w:rPr>
        <w:t>，国债的选择标准是国债到期日距评估基准日</w:t>
      </w:r>
      <w:r w:rsidRPr="00A214B0">
        <w:rPr>
          <w:color w:val="000000" w:themeColor="text1"/>
          <w:sz w:val="24"/>
          <w:szCs w:val="24"/>
        </w:rPr>
        <w:t>10</w:t>
      </w:r>
      <w:r w:rsidRPr="00A214B0">
        <w:rPr>
          <w:color w:val="000000" w:themeColor="text1"/>
          <w:sz w:val="24"/>
          <w:szCs w:val="24"/>
        </w:rPr>
        <w:t>年的国债，以其到期收益率的平均值作为平均收益率，以此平均值作为无风险报酬率</w:t>
      </w:r>
      <w:r w:rsidRPr="00A214B0">
        <w:rPr>
          <w:color w:val="000000" w:themeColor="text1"/>
          <w:sz w:val="24"/>
          <w:szCs w:val="24"/>
        </w:rPr>
        <w:t xml:space="preserve"> Rf</w:t>
      </w:r>
      <w:r w:rsidRPr="00A214B0">
        <w:rPr>
          <w:color w:val="000000" w:themeColor="text1"/>
          <w:sz w:val="24"/>
          <w:szCs w:val="24"/>
        </w:rPr>
        <w:t>。查阅同花顺并计算距评估基准日</w:t>
      </w:r>
      <w:r w:rsidRPr="00A214B0">
        <w:rPr>
          <w:color w:val="000000" w:themeColor="text1"/>
          <w:sz w:val="24"/>
          <w:szCs w:val="24"/>
        </w:rPr>
        <w:t>10</w:t>
      </w:r>
      <w:r w:rsidRPr="00A214B0">
        <w:rPr>
          <w:color w:val="000000" w:themeColor="text1"/>
          <w:sz w:val="24"/>
          <w:szCs w:val="24"/>
        </w:rPr>
        <w:t>年的国债平均收益率为</w:t>
      </w:r>
      <w:r w:rsidRPr="00A214B0">
        <w:rPr>
          <w:color w:val="000000" w:themeColor="text1"/>
          <w:sz w:val="24"/>
          <w:szCs w:val="24"/>
        </w:rPr>
        <w:t xml:space="preserve"> 3.98%</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(2)</w:t>
      </w:r>
      <w:r w:rsidRPr="00A214B0">
        <w:rPr>
          <w:color w:val="000000" w:themeColor="text1"/>
          <w:sz w:val="24"/>
          <w:szCs w:val="24"/>
        </w:rPr>
        <w:t>企业风险系数</w:t>
      </w:r>
      <w:r w:rsidRPr="00A214B0">
        <w:rPr>
          <w:color w:val="000000" w:themeColor="text1"/>
          <w:sz w:val="24"/>
          <w:szCs w:val="24"/>
        </w:rPr>
        <w:t>β</w:t>
      </w:r>
      <w:r w:rsidRPr="00A214B0">
        <w:rPr>
          <w:color w:val="000000" w:themeColor="text1"/>
          <w:sz w:val="24"/>
          <w:szCs w:val="24"/>
        </w:rPr>
        <w:t>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通常采用商业数据服务机构所公布的公司股票的</w:t>
      </w:r>
      <w:r w:rsidRPr="00A214B0">
        <w:rPr>
          <w:color w:val="000000" w:themeColor="text1"/>
          <w:sz w:val="24"/>
          <w:szCs w:val="24"/>
        </w:rPr>
        <w:t>β</w:t>
      </w:r>
      <w:r w:rsidRPr="00A214B0">
        <w:rPr>
          <w:color w:val="000000" w:themeColor="text1"/>
          <w:sz w:val="24"/>
          <w:szCs w:val="24"/>
        </w:rPr>
        <w:t>值来替代。由于委估企业目前为非上市公司，一般情况下难以直接对其测算出该系数指标值，故本次通过选定与委估企业处于同行业的可比上市公司于基准日的贝塔值</w:t>
      </w:r>
      <w:r w:rsidRPr="00A214B0">
        <w:rPr>
          <w:color w:val="000000" w:themeColor="text1"/>
          <w:sz w:val="24"/>
          <w:szCs w:val="24"/>
        </w:rPr>
        <w:t>βL</w:t>
      </w:r>
      <w:r w:rsidRPr="00A214B0">
        <w:rPr>
          <w:color w:val="000000" w:themeColor="text1"/>
          <w:sz w:val="24"/>
          <w:szCs w:val="24"/>
        </w:rPr>
        <w:t>，先通过公式</w:t>
      </w:r>
      <w:r w:rsidRPr="00A214B0">
        <w:rPr>
          <w:color w:val="000000" w:themeColor="text1"/>
          <w:sz w:val="24"/>
          <w:szCs w:val="24"/>
        </w:rPr>
        <w:t>βL/[1</w:t>
      </w:r>
      <w:r w:rsidRPr="00A214B0">
        <w:rPr>
          <w:color w:val="000000" w:themeColor="text1"/>
          <w:sz w:val="24"/>
          <w:szCs w:val="24"/>
        </w:rPr>
        <w:t>＋</w:t>
      </w:r>
      <w:r w:rsidRPr="00A214B0">
        <w:rPr>
          <w:color w:val="000000" w:themeColor="text1"/>
          <w:sz w:val="24"/>
          <w:szCs w:val="24"/>
        </w:rPr>
        <w:t>(1</w:t>
      </w:r>
      <w:r w:rsidRPr="00A214B0">
        <w:rPr>
          <w:color w:val="000000" w:themeColor="text1"/>
          <w:sz w:val="24"/>
          <w:szCs w:val="24"/>
        </w:rPr>
        <w:t>－</w:t>
      </w:r>
      <w:r w:rsidRPr="00A214B0">
        <w:rPr>
          <w:color w:val="000000" w:themeColor="text1"/>
          <w:sz w:val="24"/>
          <w:szCs w:val="24"/>
        </w:rPr>
        <w:t>t)×(D/E)]</w:t>
      </w:r>
      <w:r w:rsidRPr="00A214B0">
        <w:rPr>
          <w:color w:val="000000" w:themeColor="text1"/>
          <w:sz w:val="24"/>
          <w:szCs w:val="24"/>
        </w:rPr>
        <w:t>将其换算为无财务杠杆的贝塔值</w:t>
      </w:r>
      <w:r w:rsidRPr="00A214B0">
        <w:rPr>
          <w:color w:val="000000" w:themeColor="text1"/>
          <w:sz w:val="24"/>
          <w:szCs w:val="24"/>
        </w:rPr>
        <w:t>βt</w:t>
      </w:r>
      <w:r w:rsidRPr="00A214B0">
        <w:rPr>
          <w:color w:val="000000" w:themeColor="text1"/>
          <w:sz w:val="24"/>
          <w:szCs w:val="24"/>
        </w:rPr>
        <w:t>，再将可比上市公司的无财务杠杆的贝塔值</w:t>
      </w:r>
      <w:r w:rsidRPr="00A214B0">
        <w:rPr>
          <w:color w:val="000000" w:themeColor="text1"/>
          <w:sz w:val="24"/>
          <w:szCs w:val="24"/>
        </w:rPr>
        <w:t>βt</w:t>
      </w:r>
      <w:r w:rsidRPr="00A214B0">
        <w:rPr>
          <w:color w:val="000000" w:themeColor="text1"/>
          <w:sz w:val="24"/>
          <w:szCs w:val="24"/>
        </w:rPr>
        <w:t>平均值作为委估企业的</w:t>
      </w:r>
      <w:r w:rsidRPr="00A214B0">
        <w:rPr>
          <w:color w:val="000000" w:themeColor="text1"/>
          <w:sz w:val="24"/>
          <w:szCs w:val="24"/>
        </w:rPr>
        <w:t>βU</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式中：</w:t>
      </w:r>
      <w:r w:rsidRPr="00A214B0">
        <w:rPr>
          <w:color w:val="000000" w:themeColor="text1"/>
          <w:sz w:val="24"/>
          <w:szCs w:val="24"/>
        </w:rPr>
        <w:t>βL—</w:t>
      </w:r>
      <w:r w:rsidRPr="00A214B0">
        <w:rPr>
          <w:color w:val="000000" w:themeColor="text1"/>
          <w:sz w:val="24"/>
          <w:szCs w:val="24"/>
        </w:rPr>
        <w:t>有财务杠杆的</w:t>
      </w:r>
      <w:r w:rsidRPr="00A214B0">
        <w:rPr>
          <w:color w:val="000000" w:themeColor="text1"/>
          <w:sz w:val="24"/>
          <w:szCs w:val="24"/>
        </w:rPr>
        <w:t xml:space="preserve"> Beta</w:t>
      </w:r>
    </w:p>
    <w:p w:rsidR="00D56508" w:rsidRPr="00A214B0" w:rsidRDefault="00F1265B">
      <w:pPr>
        <w:pStyle w:val="aa"/>
        <w:adjustRightInd w:val="0"/>
        <w:snapToGrid w:val="0"/>
        <w:spacing w:line="360" w:lineRule="auto"/>
        <w:ind w:firstLineChars="500" w:firstLine="1200"/>
        <w:rPr>
          <w:color w:val="000000" w:themeColor="text1"/>
          <w:sz w:val="24"/>
          <w:szCs w:val="24"/>
        </w:rPr>
      </w:pPr>
      <w:r w:rsidRPr="00A214B0">
        <w:rPr>
          <w:color w:val="000000" w:themeColor="text1"/>
          <w:sz w:val="24"/>
          <w:szCs w:val="24"/>
        </w:rPr>
        <w:t>D/E—</w:t>
      </w:r>
      <w:r w:rsidRPr="00A214B0">
        <w:rPr>
          <w:color w:val="000000" w:themeColor="text1"/>
          <w:sz w:val="24"/>
          <w:szCs w:val="24"/>
        </w:rPr>
        <w:t>可比上市公司目标资本结构</w:t>
      </w:r>
    </w:p>
    <w:p w:rsidR="00D56508" w:rsidRPr="00A214B0" w:rsidRDefault="00F1265B">
      <w:pPr>
        <w:pStyle w:val="aa"/>
        <w:adjustRightInd w:val="0"/>
        <w:snapToGrid w:val="0"/>
        <w:spacing w:line="360" w:lineRule="auto"/>
        <w:ind w:firstLineChars="500" w:firstLine="1200"/>
        <w:rPr>
          <w:color w:val="000000" w:themeColor="text1"/>
          <w:sz w:val="24"/>
          <w:szCs w:val="24"/>
        </w:rPr>
      </w:pPr>
      <w:r w:rsidRPr="00A214B0">
        <w:rPr>
          <w:color w:val="000000" w:themeColor="text1"/>
          <w:sz w:val="24"/>
          <w:szCs w:val="24"/>
        </w:rPr>
        <w:t>βt—</w:t>
      </w:r>
      <w:r w:rsidRPr="00A214B0">
        <w:rPr>
          <w:color w:val="000000" w:themeColor="text1"/>
          <w:sz w:val="24"/>
          <w:szCs w:val="24"/>
        </w:rPr>
        <w:t>剔除财务杠杆调整</w:t>
      </w:r>
      <w:r w:rsidRPr="00A214B0">
        <w:rPr>
          <w:color w:val="000000" w:themeColor="text1"/>
          <w:sz w:val="24"/>
          <w:szCs w:val="24"/>
        </w:rPr>
        <w:t xml:space="preserve"> Beta</w:t>
      </w:r>
    </w:p>
    <w:p w:rsidR="00D56508" w:rsidRPr="00A214B0" w:rsidRDefault="00F1265B">
      <w:pPr>
        <w:pStyle w:val="aa"/>
        <w:adjustRightInd w:val="0"/>
        <w:snapToGrid w:val="0"/>
        <w:spacing w:line="360" w:lineRule="auto"/>
        <w:ind w:firstLineChars="500" w:firstLine="1200"/>
        <w:rPr>
          <w:color w:val="000000" w:themeColor="text1"/>
          <w:sz w:val="24"/>
          <w:szCs w:val="24"/>
        </w:rPr>
      </w:pPr>
      <w:r w:rsidRPr="00A214B0">
        <w:rPr>
          <w:color w:val="000000" w:themeColor="text1"/>
          <w:sz w:val="24"/>
          <w:szCs w:val="24"/>
        </w:rPr>
        <w:t>t—</w:t>
      </w:r>
      <w:r w:rsidRPr="00A214B0">
        <w:rPr>
          <w:color w:val="000000" w:themeColor="text1"/>
          <w:sz w:val="24"/>
          <w:szCs w:val="24"/>
        </w:rPr>
        <w:t>所得税率</w:t>
      </w:r>
    </w:p>
    <w:p w:rsidR="00D56508" w:rsidRPr="00A214B0" w:rsidRDefault="00F1265B">
      <w:pPr>
        <w:pStyle w:val="aa"/>
        <w:adjustRightInd w:val="0"/>
        <w:snapToGrid w:val="0"/>
        <w:spacing w:line="360" w:lineRule="auto"/>
        <w:ind w:firstLineChars="500" w:firstLine="1200"/>
        <w:rPr>
          <w:color w:val="000000" w:themeColor="text1"/>
          <w:sz w:val="24"/>
          <w:szCs w:val="24"/>
        </w:rPr>
      </w:pPr>
      <w:r w:rsidRPr="00A214B0">
        <w:rPr>
          <w:color w:val="000000" w:themeColor="text1"/>
          <w:sz w:val="24"/>
          <w:szCs w:val="24"/>
        </w:rPr>
        <w:t>βU</w:t>
      </w:r>
      <w:r w:rsidRPr="00A214B0">
        <w:rPr>
          <w:color w:val="000000" w:themeColor="text1"/>
          <w:sz w:val="24"/>
          <w:szCs w:val="24"/>
        </w:rPr>
        <w:t>：为参考企业的平均无杠杆状况下的风险系数</w:t>
      </w:r>
    </w:p>
    <w:p w:rsidR="00D56508" w:rsidRPr="00A214B0" w:rsidRDefault="00F1265B">
      <w:pPr>
        <w:pStyle w:val="aa"/>
        <w:adjustRightInd w:val="0"/>
        <w:snapToGrid w:val="0"/>
        <w:spacing w:line="360" w:lineRule="auto"/>
        <w:ind w:firstLineChars="500" w:firstLine="1200"/>
        <w:rPr>
          <w:color w:val="000000" w:themeColor="text1"/>
          <w:sz w:val="24"/>
          <w:szCs w:val="24"/>
        </w:rPr>
      </w:pPr>
      <w:r w:rsidRPr="00A214B0">
        <w:rPr>
          <w:color w:val="000000" w:themeColor="text1"/>
          <w:sz w:val="24"/>
          <w:szCs w:val="24"/>
        </w:rPr>
        <w:t>βt</w:t>
      </w:r>
      <w:r w:rsidRPr="00A214B0">
        <w:rPr>
          <w:color w:val="000000" w:themeColor="text1"/>
          <w:sz w:val="24"/>
          <w:szCs w:val="24"/>
        </w:rPr>
        <w:t>计算如下：</w:t>
      </w:r>
    </w:p>
    <w:tbl>
      <w:tblPr>
        <w:tblW w:w="9049" w:type="dxa"/>
        <w:tblLayout w:type="fixed"/>
        <w:tblLook w:val="04A0" w:firstRow="1" w:lastRow="0" w:firstColumn="1" w:lastColumn="0" w:noHBand="0" w:noVBand="1"/>
      </w:tblPr>
      <w:tblGrid>
        <w:gridCol w:w="1950"/>
        <w:gridCol w:w="1943"/>
        <w:gridCol w:w="1873"/>
        <w:gridCol w:w="1801"/>
        <w:gridCol w:w="1482"/>
      </w:tblGrid>
      <w:tr w:rsidR="00D56508" w:rsidRPr="00A214B0">
        <w:trPr>
          <w:trHeight w:val="375"/>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对比公司名称</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中储股份</w:t>
            </w:r>
          </w:p>
        </w:tc>
        <w:tc>
          <w:tcPr>
            <w:tcW w:w="1873"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保税科技</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恒基达鑫</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新宁物流</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股票代码</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600787.SH</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600794.SH</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002492.SZ</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300013.SZ</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付息债务</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369,035.19</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53,174.57</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23,023.03</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90,991.69</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债务价值比例</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20%</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11%</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16%</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股权公平市场价值</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1,489,265.30 </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429,101.86 </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253,530.00 </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492,844.78 </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股权价值比例</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80%</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89%</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92%</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84%</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可比公司的</w:t>
            </w:r>
            <w:r w:rsidRPr="00A214B0">
              <w:rPr>
                <w:rFonts w:ascii="Times New Roman" w:eastAsia="宋体" w:hAnsi="Times New Roman" w:cs="Times New Roman"/>
                <w:color w:val="000000" w:themeColor="text1"/>
                <w:kern w:val="0"/>
                <w:sz w:val="18"/>
                <w:szCs w:val="18"/>
              </w:rPr>
              <w:t xml:space="preserve"> β</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1.3321 </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0.8598 </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1.3478 </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1.0462 </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取消杠杆调整的</w:t>
            </w:r>
            <w:r w:rsidRPr="00A214B0">
              <w:rPr>
                <w:rFonts w:ascii="Times New Roman" w:eastAsia="宋体" w:hAnsi="Times New Roman" w:cs="Times New Roman"/>
                <w:color w:val="000000" w:themeColor="text1"/>
                <w:kern w:val="0"/>
                <w:sz w:val="18"/>
                <w:szCs w:val="18"/>
              </w:rPr>
              <w:t xml:space="preserve"> β</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1.1233 </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0.7867 </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1.2512 </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 xml:space="preserve"> 0.9043 </w:t>
            </w:r>
          </w:p>
        </w:tc>
      </w:tr>
      <w:tr w:rsidR="00D56508" w:rsidRPr="00A214B0">
        <w:trPr>
          <w:trHeight w:val="375"/>
        </w:trPr>
        <w:tc>
          <w:tcPr>
            <w:tcW w:w="1950"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可比公司的所得税率</w:t>
            </w:r>
          </w:p>
        </w:tc>
        <w:tc>
          <w:tcPr>
            <w:tcW w:w="194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25%</w:t>
            </w:r>
          </w:p>
        </w:tc>
        <w:tc>
          <w:tcPr>
            <w:tcW w:w="1873"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25%</w:t>
            </w:r>
          </w:p>
        </w:tc>
        <w:tc>
          <w:tcPr>
            <w:tcW w:w="180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w:t>
            </w:r>
          </w:p>
        </w:tc>
        <w:tc>
          <w:tcPr>
            <w:tcW w:w="1482"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w:t>
            </w:r>
          </w:p>
        </w:tc>
      </w:tr>
    </w:tbl>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通过测算所选取样本公司的平均无杠杆贝塔值</w:t>
      </w:r>
      <w:r w:rsidRPr="00A214B0">
        <w:rPr>
          <w:color w:val="000000" w:themeColor="text1"/>
          <w:sz w:val="24"/>
          <w:szCs w:val="24"/>
        </w:rPr>
        <w:t>βt</w:t>
      </w:r>
      <w:r w:rsidRPr="00A214B0">
        <w:rPr>
          <w:color w:val="000000" w:themeColor="text1"/>
          <w:sz w:val="24"/>
          <w:szCs w:val="24"/>
        </w:rPr>
        <w:t>，我们再统计被评估企业历史资本结构数据并参考权益现金流计算的权益市场价值，同时采用迭代法估算资本结构数据作为被评估企业的目标资本结构；根据上述确定的被评估企业的目标资本结构和无杠杆贝塔值，我们可以计算被评估企业所使用的贝塔值数据</w:t>
      </w:r>
      <w:r w:rsidRPr="00A214B0">
        <w:rPr>
          <w:color w:val="000000" w:themeColor="text1"/>
          <w:sz w:val="24"/>
          <w:szCs w:val="24"/>
        </w:rPr>
        <w:t>βL</w:t>
      </w:r>
      <w:r w:rsidRPr="00A214B0">
        <w:rPr>
          <w:color w:val="000000" w:themeColor="text1"/>
          <w:sz w:val="24"/>
          <w:szCs w:val="24"/>
        </w:rPr>
        <w:t>，具体公式为：</w:t>
      </w:r>
      <w:r w:rsidRPr="00A214B0">
        <w:rPr>
          <w:color w:val="000000" w:themeColor="text1"/>
          <w:sz w:val="24"/>
          <w:szCs w:val="24"/>
        </w:rPr>
        <w:t>βL</w:t>
      </w:r>
      <w:r w:rsidRPr="00A214B0">
        <w:rPr>
          <w:color w:val="000000" w:themeColor="text1"/>
          <w:sz w:val="24"/>
          <w:szCs w:val="24"/>
        </w:rPr>
        <w:t>＝</w:t>
      </w:r>
      <w:r w:rsidRPr="00A214B0">
        <w:rPr>
          <w:color w:val="000000" w:themeColor="text1"/>
          <w:sz w:val="24"/>
          <w:szCs w:val="24"/>
        </w:rPr>
        <w:t>βU×[1</w:t>
      </w:r>
      <w:r w:rsidRPr="00A214B0">
        <w:rPr>
          <w:color w:val="000000" w:themeColor="text1"/>
          <w:sz w:val="24"/>
          <w:szCs w:val="24"/>
        </w:rPr>
        <w:t>＋</w:t>
      </w:r>
      <w:r w:rsidRPr="00A214B0">
        <w:rPr>
          <w:color w:val="000000" w:themeColor="text1"/>
          <w:sz w:val="24"/>
          <w:szCs w:val="24"/>
        </w:rPr>
        <w:t>(1</w:t>
      </w:r>
      <w:r w:rsidRPr="00A214B0">
        <w:rPr>
          <w:color w:val="000000" w:themeColor="text1"/>
          <w:sz w:val="24"/>
          <w:szCs w:val="24"/>
        </w:rPr>
        <w:t>－</w:t>
      </w:r>
      <w:r w:rsidRPr="00A214B0">
        <w:rPr>
          <w:color w:val="000000" w:themeColor="text1"/>
          <w:sz w:val="24"/>
          <w:szCs w:val="24"/>
        </w:rPr>
        <w:t>t) ×(D/E)]</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βL</w:t>
      </w:r>
      <w:r w:rsidRPr="00A214B0">
        <w:rPr>
          <w:color w:val="000000" w:themeColor="text1"/>
          <w:sz w:val="24"/>
          <w:szCs w:val="24"/>
        </w:rPr>
        <w:t>：为被评估企业目标财务杠杆状况下的风险系数；</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βU</w:t>
      </w:r>
      <w:r w:rsidRPr="00A214B0">
        <w:rPr>
          <w:color w:val="000000" w:themeColor="text1"/>
          <w:sz w:val="24"/>
          <w:szCs w:val="24"/>
        </w:rPr>
        <w:t>：为参考企业的平均无杠杆状况下的风险系数；</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D/E</w:t>
      </w:r>
      <w:r w:rsidRPr="00A214B0">
        <w:rPr>
          <w:color w:val="000000" w:themeColor="text1"/>
          <w:sz w:val="24"/>
          <w:szCs w:val="24"/>
        </w:rPr>
        <w:t>：为被评估企业的目标资本结构，本次采用迭代法估算资本结构数据作为被评估企业的目标资本结构；</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t</w:t>
      </w:r>
      <w:r w:rsidRPr="00A214B0">
        <w:rPr>
          <w:color w:val="000000" w:themeColor="text1"/>
          <w:sz w:val="24"/>
          <w:szCs w:val="24"/>
        </w:rPr>
        <w:t>：为被评估企业的综合所得税税率</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βL</w:t>
      </w:r>
      <w:r w:rsidRPr="00A214B0">
        <w:rPr>
          <w:color w:val="000000" w:themeColor="text1"/>
          <w:sz w:val="24"/>
          <w:szCs w:val="24"/>
        </w:rPr>
        <w:t>（</w:t>
      </w:r>
      <w:r w:rsidRPr="00A214B0">
        <w:rPr>
          <w:color w:val="000000" w:themeColor="text1"/>
          <w:sz w:val="24"/>
          <w:szCs w:val="24"/>
        </w:rPr>
        <w:t>15%</w:t>
      </w:r>
      <w:r w:rsidRPr="00A214B0">
        <w:rPr>
          <w:color w:val="000000" w:themeColor="text1"/>
          <w:sz w:val="24"/>
          <w:szCs w:val="24"/>
        </w:rPr>
        <w:t>税率）＝</w:t>
      </w:r>
      <w:r w:rsidRPr="00A214B0">
        <w:rPr>
          <w:color w:val="000000" w:themeColor="text1"/>
          <w:sz w:val="24"/>
          <w:szCs w:val="24"/>
        </w:rPr>
        <w:t>βU×[1</w:t>
      </w:r>
      <w:r w:rsidRPr="00A214B0">
        <w:rPr>
          <w:color w:val="000000" w:themeColor="text1"/>
          <w:sz w:val="24"/>
          <w:szCs w:val="24"/>
        </w:rPr>
        <w:t>＋</w:t>
      </w:r>
      <w:r w:rsidRPr="00A214B0">
        <w:rPr>
          <w:color w:val="000000" w:themeColor="text1"/>
          <w:sz w:val="24"/>
          <w:szCs w:val="24"/>
        </w:rPr>
        <w:t>(1</w:t>
      </w:r>
      <w:r w:rsidRPr="00A214B0">
        <w:rPr>
          <w:color w:val="000000" w:themeColor="text1"/>
          <w:sz w:val="24"/>
          <w:szCs w:val="24"/>
        </w:rPr>
        <w:t>－</w:t>
      </w:r>
      <w:r w:rsidRPr="00A214B0">
        <w:rPr>
          <w:color w:val="000000" w:themeColor="text1"/>
          <w:sz w:val="24"/>
          <w:szCs w:val="24"/>
        </w:rPr>
        <w:t>t) ×(D/E)]</w:t>
      </w:r>
    </w:p>
    <w:p w:rsidR="00D56508" w:rsidRPr="00A214B0" w:rsidRDefault="00DF4E61">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 xml:space="preserve">   = 1.3</w:t>
      </w:r>
      <w:r w:rsidR="00CA2D13" w:rsidRPr="00A214B0">
        <w:rPr>
          <w:color w:val="000000" w:themeColor="text1"/>
          <w:sz w:val="24"/>
          <w:szCs w:val="24"/>
        </w:rPr>
        <w:t>920</w:t>
      </w:r>
      <w:r w:rsidR="00F1265B" w:rsidRPr="00A214B0">
        <w:rPr>
          <w:color w:val="000000" w:themeColor="text1"/>
          <w:sz w:val="24"/>
          <w:szCs w:val="24"/>
        </w:rPr>
        <w:t xml:space="preserve"> </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βL</w:t>
      </w:r>
      <w:r w:rsidRPr="00A214B0">
        <w:rPr>
          <w:color w:val="000000" w:themeColor="text1"/>
          <w:sz w:val="24"/>
          <w:szCs w:val="24"/>
        </w:rPr>
        <w:t>（</w:t>
      </w:r>
      <w:r w:rsidRPr="00A214B0">
        <w:rPr>
          <w:color w:val="000000" w:themeColor="text1"/>
          <w:sz w:val="24"/>
          <w:szCs w:val="24"/>
        </w:rPr>
        <w:t>25%</w:t>
      </w:r>
      <w:r w:rsidRPr="00A214B0">
        <w:rPr>
          <w:color w:val="000000" w:themeColor="text1"/>
          <w:sz w:val="24"/>
          <w:szCs w:val="24"/>
        </w:rPr>
        <w:t>税率）＝</w:t>
      </w:r>
      <w:r w:rsidRPr="00A214B0">
        <w:rPr>
          <w:color w:val="000000" w:themeColor="text1"/>
          <w:sz w:val="24"/>
          <w:szCs w:val="24"/>
        </w:rPr>
        <w:t>βU×[1</w:t>
      </w:r>
      <w:r w:rsidRPr="00A214B0">
        <w:rPr>
          <w:color w:val="000000" w:themeColor="text1"/>
          <w:sz w:val="24"/>
          <w:szCs w:val="24"/>
        </w:rPr>
        <w:t>＋</w:t>
      </w:r>
      <w:r w:rsidRPr="00A214B0">
        <w:rPr>
          <w:color w:val="000000" w:themeColor="text1"/>
          <w:sz w:val="24"/>
          <w:szCs w:val="24"/>
        </w:rPr>
        <w:t>(1</w:t>
      </w:r>
      <w:r w:rsidRPr="00A214B0">
        <w:rPr>
          <w:color w:val="000000" w:themeColor="text1"/>
          <w:sz w:val="24"/>
          <w:szCs w:val="24"/>
        </w:rPr>
        <w:t>－</w:t>
      </w:r>
      <w:r w:rsidRPr="00A214B0">
        <w:rPr>
          <w:color w:val="000000" w:themeColor="text1"/>
          <w:sz w:val="24"/>
          <w:szCs w:val="24"/>
        </w:rPr>
        <w:t>t) ×(D/E)]</w:t>
      </w:r>
    </w:p>
    <w:p w:rsidR="00D56508" w:rsidRPr="00A214B0" w:rsidRDefault="00CA2D13">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 xml:space="preserve">   = 1.3478</w:t>
      </w:r>
      <w:r w:rsidR="00F1265B" w:rsidRPr="00A214B0">
        <w:rPr>
          <w:color w:val="000000" w:themeColor="text1"/>
          <w:sz w:val="24"/>
          <w:szCs w:val="24"/>
        </w:rPr>
        <w:t xml:space="preserve"> </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(3)</w:t>
      </w:r>
      <w:r w:rsidRPr="00A214B0">
        <w:rPr>
          <w:color w:val="000000" w:themeColor="text1"/>
          <w:sz w:val="24"/>
          <w:szCs w:val="24"/>
        </w:rPr>
        <w:t>股权市场超额风险收益率</w:t>
      </w:r>
      <w:r w:rsidRPr="00A214B0">
        <w:rPr>
          <w:color w:val="000000" w:themeColor="text1"/>
          <w:sz w:val="24"/>
          <w:szCs w:val="24"/>
        </w:rPr>
        <w:t xml:space="preserve"> ERP </w:t>
      </w:r>
      <w:r w:rsidRPr="00A214B0">
        <w:rPr>
          <w:color w:val="000000" w:themeColor="text1"/>
          <w:sz w:val="24"/>
          <w:szCs w:val="24"/>
        </w:rPr>
        <w:t>的确定</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市场风险溢价</w:t>
      </w:r>
      <w:r w:rsidRPr="00A214B0">
        <w:rPr>
          <w:rFonts w:ascii="Times New Roman" w:eastAsia="宋体" w:hAnsi="Times New Roman" w:cs="Times New Roman"/>
          <w:color w:val="000000" w:themeColor="text1"/>
          <w:sz w:val="24"/>
        </w:rPr>
        <w:t>(Equity Risk Premiums</w:t>
      </w:r>
      <w:r w:rsidRPr="00A214B0">
        <w:rPr>
          <w:rFonts w:ascii="Times New Roman" w:eastAsia="宋体" w:hAnsi="Times New Roman" w:cs="Times New Roman"/>
          <w:color w:val="000000" w:themeColor="text1"/>
          <w:sz w:val="24"/>
        </w:rPr>
        <w:t>，</w:t>
      </w:r>
      <w:r w:rsidRPr="00A214B0">
        <w:rPr>
          <w:rFonts w:ascii="Times New Roman" w:eastAsia="宋体" w:hAnsi="Times New Roman" w:cs="Times New Roman"/>
          <w:color w:val="000000" w:themeColor="text1"/>
          <w:sz w:val="24"/>
        </w:rPr>
        <w:t>ERP)</w:t>
      </w:r>
      <w:r w:rsidRPr="00A214B0">
        <w:rPr>
          <w:rFonts w:ascii="Times New Roman" w:eastAsia="宋体" w:hAnsi="Times New Roman" w:cs="Times New Roman"/>
          <w:color w:val="000000" w:themeColor="text1"/>
          <w:sz w:val="24"/>
        </w:rPr>
        <w:t>反映的是投资者因投资于风险相对较高的资本市场而要求的高于无风险报酬率的风险补偿。中国股票市场作为新兴市场，其发展历史较短，市场波动幅度较大，投资理念尚有待逐步发展成熟，市场数据往往难以客观反映市场风险溢价，因此，评估时采用业界常用的风险溢价调整方法，对成熟市场的风险溢价进行适当调整来确定我国市场风险溢价。</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基本公式为：</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市场风险溢价（</w:t>
      </w:r>
      <w:r w:rsidRPr="00A214B0">
        <w:rPr>
          <w:rFonts w:ascii="Times New Roman" w:eastAsia="宋体" w:hAnsi="Times New Roman" w:cs="Times New Roman"/>
          <w:color w:val="000000" w:themeColor="text1"/>
          <w:sz w:val="24"/>
        </w:rPr>
        <w:t>RPm</w:t>
      </w:r>
      <w:r w:rsidRPr="00A214B0">
        <w:rPr>
          <w:rFonts w:ascii="Times New Roman" w:eastAsia="宋体" w:hAnsi="Times New Roman" w:cs="Times New Roman"/>
          <w:color w:val="000000" w:themeColor="text1"/>
          <w:sz w:val="24"/>
        </w:rPr>
        <w:t>）</w:t>
      </w:r>
      <w:r w:rsidRPr="00A214B0">
        <w:rPr>
          <w:rFonts w:ascii="Times New Roman" w:eastAsia="宋体" w:hAnsi="Times New Roman" w:cs="Times New Roman"/>
          <w:color w:val="000000" w:themeColor="text1"/>
          <w:sz w:val="24"/>
        </w:rPr>
        <w:t>=</w:t>
      </w:r>
      <w:r w:rsidRPr="00A214B0">
        <w:rPr>
          <w:rFonts w:ascii="Times New Roman" w:eastAsia="宋体" w:hAnsi="Times New Roman" w:cs="Times New Roman"/>
          <w:color w:val="000000" w:themeColor="text1"/>
          <w:sz w:val="24"/>
        </w:rPr>
        <w:t>成熟股票市场的股票风险溢价</w:t>
      </w:r>
      <w:r w:rsidRPr="00A214B0">
        <w:rPr>
          <w:rFonts w:ascii="Times New Roman" w:eastAsia="宋体" w:hAnsi="Times New Roman" w:cs="Times New Roman"/>
          <w:color w:val="000000" w:themeColor="text1"/>
          <w:sz w:val="24"/>
        </w:rPr>
        <w:t>+</w:t>
      </w:r>
      <w:r w:rsidRPr="00A214B0">
        <w:rPr>
          <w:rFonts w:ascii="Times New Roman" w:eastAsia="宋体" w:hAnsi="Times New Roman" w:cs="Times New Roman"/>
          <w:color w:val="000000" w:themeColor="text1"/>
          <w:sz w:val="24"/>
        </w:rPr>
        <w:t>国家风险溢价</w:t>
      </w:r>
    </w:p>
    <w:p w:rsidR="00D56508" w:rsidRPr="00A214B0" w:rsidRDefault="00F1265B">
      <w:pPr>
        <w:adjustRightInd w:val="0"/>
        <w:snapToGrid w:val="0"/>
        <w:spacing w:line="360" w:lineRule="auto"/>
        <w:ind w:firstLineChars="393" w:firstLine="943"/>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w:t>
      </w:r>
      <w:r w:rsidRPr="00A214B0">
        <w:rPr>
          <w:rFonts w:ascii="Times New Roman" w:eastAsia="宋体" w:hAnsi="Times New Roman" w:cs="Times New Roman"/>
          <w:color w:val="000000" w:themeColor="text1"/>
          <w:sz w:val="24"/>
        </w:rPr>
        <w:t>成熟股票市场的股票风险溢价</w:t>
      </w:r>
      <w:r w:rsidRPr="00A214B0">
        <w:rPr>
          <w:rFonts w:ascii="Times New Roman" w:eastAsia="宋体" w:hAnsi="Times New Roman" w:cs="Times New Roman"/>
          <w:color w:val="000000" w:themeColor="text1"/>
          <w:sz w:val="24"/>
        </w:rPr>
        <w:t>+</w:t>
      </w:r>
      <w:r w:rsidRPr="00A214B0">
        <w:rPr>
          <w:rFonts w:ascii="Times New Roman" w:eastAsia="宋体" w:hAnsi="Times New Roman" w:cs="Times New Roman"/>
          <w:color w:val="000000" w:themeColor="text1"/>
          <w:sz w:val="24"/>
        </w:rPr>
        <w:t>国家违约风险利差</w:t>
      </w:r>
      <w:r w:rsidRPr="00A214B0">
        <w:rPr>
          <w:rFonts w:ascii="Times New Roman" w:eastAsia="宋体" w:hAnsi="Times New Roman" w:cs="Times New Roman"/>
          <w:color w:val="000000" w:themeColor="text1"/>
          <w:sz w:val="24"/>
        </w:rPr>
        <w:t>×(σ</w:t>
      </w:r>
      <w:r w:rsidRPr="00A214B0">
        <w:rPr>
          <w:rFonts w:ascii="Times New Roman" w:eastAsia="宋体" w:hAnsi="Times New Roman" w:cs="Times New Roman"/>
          <w:color w:val="000000" w:themeColor="text1"/>
          <w:sz w:val="24"/>
        </w:rPr>
        <w:t>股票</w:t>
      </w:r>
      <w:r w:rsidRPr="00A214B0">
        <w:rPr>
          <w:rFonts w:ascii="Times New Roman" w:eastAsia="宋体" w:hAnsi="Times New Roman" w:cs="Times New Roman"/>
          <w:color w:val="000000" w:themeColor="text1"/>
          <w:sz w:val="24"/>
        </w:rPr>
        <w:t>/σ</w:t>
      </w:r>
      <w:r w:rsidRPr="00A214B0">
        <w:rPr>
          <w:rFonts w:ascii="Times New Roman" w:eastAsia="宋体" w:hAnsi="Times New Roman" w:cs="Times New Roman"/>
          <w:color w:val="000000" w:themeColor="text1"/>
          <w:sz w:val="24"/>
        </w:rPr>
        <w:t>国债</w:t>
      </w:r>
      <w:r w:rsidRPr="00A214B0">
        <w:rPr>
          <w:rFonts w:ascii="Times New Roman" w:eastAsia="宋体" w:hAnsi="Times New Roman" w:cs="Times New Roman"/>
          <w:color w:val="000000" w:themeColor="text1"/>
          <w:sz w:val="24"/>
        </w:rPr>
        <w:t>)</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①</w:t>
      </w:r>
      <w:r w:rsidRPr="00A214B0">
        <w:rPr>
          <w:rFonts w:ascii="Times New Roman" w:eastAsia="宋体" w:hAnsi="Times New Roman" w:cs="Times New Roman"/>
          <w:color w:val="000000" w:themeColor="text1"/>
          <w:sz w:val="24"/>
        </w:rPr>
        <w:t>成熟市场基本补偿额</w:t>
      </w:r>
    </w:p>
    <w:p w:rsidR="00D56508" w:rsidRPr="00A214B0" w:rsidRDefault="00F1265B">
      <w:pPr>
        <w:adjustRightInd w:val="0"/>
        <w:snapToGrid w:val="0"/>
        <w:spacing w:line="360" w:lineRule="auto"/>
        <w:ind w:firstLineChars="200" w:firstLine="480"/>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美国不同时期股票风险补偿如下表所示：</w:t>
      </w:r>
    </w:p>
    <w:p w:rsidR="00D56508" w:rsidRPr="00A214B0" w:rsidRDefault="00F1265B">
      <w:pPr>
        <w:adjustRightInd w:val="0"/>
        <w:snapToGrid w:val="0"/>
        <w:spacing w:line="360" w:lineRule="auto"/>
        <w:ind w:firstLineChars="200" w:firstLine="480"/>
        <w:jc w:val="center"/>
        <w:rPr>
          <w:rFonts w:ascii="Times New Roman" w:eastAsia="宋体" w:hAnsi="Times New Roman" w:cs="Times New Roman"/>
          <w:color w:val="000000" w:themeColor="text1"/>
          <w:sz w:val="24"/>
        </w:rPr>
      </w:pPr>
      <w:r w:rsidRPr="00A214B0">
        <w:rPr>
          <w:rFonts w:ascii="Times New Roman" w:eastAsia="宋体" w:hAnsi="Times New Roman" w:cs="Times New Roman"/>
          <w:color w:val="000000" w:themeColor="text1"/>
          <w:sz w:val="24"/>
        </w:rPr>
        <w:t>一定时期内美国股票市场的风险补偿</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550"/>
        <w:gridCol w:w="3202"/>
      </w:tblGrid>
      <w:tr w:rsidR="00D56508" w:rsidRPr="00A214B0">
        <w:trPr>
          <w:jc w:val="center"/>
        </w:trPr>
        <w:tc>
          <w:tcPr>
            <w:tcW w:w="1334"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时期</w:t>
            </w:r>
          </w:p>
        </w:tc>
        <w:tc>
          <w:tcPr>
            <w:tcW w:w="3550"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基于短期国库券的股票风险补偿</w:t>
            </w:r>
          </w:p>
        </w:tc>
        <w:tc>
          <w:tcPr>
            <w:tcW w:w="3202"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基于长期国债的股票风险补偿</w:t>
            </w:r>
          </w:p>
        </w:tc>
      </w:tr>
      <w:tr w:rsidR="00D56508" w:rsidRPr="00A214B0">
        <w:trPr>
          <w:trHeight w:val="315"/>
          <w:jc w:val="center"/>
        </w:trPr>
        <w:tc>
          <w:tcPr>
            <w:tcW w:w="1334"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1928-2018</w:t>
            </w:r>
          </w:p>
        </w:tc>
        <w:tc>
          <w:tcPr>
            <w:tcW w:w="3550"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7.93%</w:t>
            </w:r>
          </w:p>
        </w:tc>
        <w:tc>
          <w:tcPr>
            <w:tcW w:w="3202"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6.26%</w:t>
            </w:r>
          </w:p>
        </w:tc>
      </w:tr>
      <w:tr w:rsidR="00D56508" w:rsidRPr="00A214B0">
        <w:trPr>
          <w:jc w:val="center"/>
        </w:trPr>
        <w:tc>
          <w:tcPr>
            <w:tcW w:w="1334"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1969-2018</w:t>
            </w:r>
          </w:p>
        </w:tc>
        <w:tc>
          <w:tcPr>
            <w:tcW w:w="3550"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6.34%</w:t>
            </w:r>
          </w:p>
        </w:tc>
        <w:tc>
          <w:tcPr>
            <w:tcW w:w="3202"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4.00%</w:t>
            </w:r>
          </w:p>
        </w:tc>
      </w:tr>
      <w:tr w:rsidR="00D56508" w:rsidRPr="00A214B0">
        <w:trPr>
          <w:jc w:val="center"/>
        </w:trPr>
        <w:tc>
          <w:tcPr>
            <w:tcW w:w="1334"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2009-2018</w:t>
            </w:r>
          </w:p>
        </w:tc>
        <w:tc>
          <w:tcPr>
            <w:tcW w:w="3550"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13.00%</w:t>
            </w:r>
          </w:p>
        </w:tc>
        <w:tc>
          <w:tcPr>
            <w:tcW w:w="3202" w:type="dxa"/>
            <w:vAlign w:val="center"/>
          </w:tcPr>
          <w:p w:rsidR="00D56508" w:rsidRPr="00A214B0" w:rsidRDefault="00F1265B">
            <w:pPr>
              <w:jc w:val="center"/>
              <w:rPr>
                <w:rFonts w:ascii="Times New Roman" w:hAnsi="Times New Roman" w:cs="Times New Roman"/>
                <w:color w:val="000000" w:themeColor="text1"/>
                <w:kern w:val="0"/>
                <w:szCs w:val="21"/>
              </w:rPr>
            </w:pPr>
            <w:r w:rsidRPr="00A214B0">
              <w:rPr>
                <w:rFonts w:ascii="Times New Roman" w:hAnsi="Times New Roman" w:cs="Times New Roman"/>
                <w:color w:val="000000" w:themeColor="text1"/>
                <w:kern w:val="0"/>
                <w:szCs w:val="21"/>
              </w:rPr>
              <w:t>11.22%</w:t>
            </w:r>
          </w:p>
        </w:tc>
      </w:tr>
    </w:tbl>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2</w:t>
      </w:r>
      <w:r w:rsidRPr="00A214B0">
        <w:rPr>
          <w:color w:val="000000" w:themeColor="text1"/>
          <w:kern w:val="2"/>
          <w:sz w:val="24"/>
          <w:szCs w:val="22"/>
        </w:rPr>
        <w:t>）国家违约补偿额</w:t>
      </w:r>
    </w:p>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穆迪评级机构对我国的债务评级为</w:t>
      </w:r>
      <w:r w:rsidRPr="00A214B0">
        <w:rPr>
          <w:color w:val="000000" w:themeColor="text1"/>
          <w:kern w:val="2"/>
          <w:sz w:val="24"/>
          <w:szCs w:val="22"/>
        </w:rPr>
        <w:t>A1</w:t>
      </w:r>
      <w:r w:rsidRPr="00A214B0">
        <w:rPr>
          <w:color w:val="000000" w:themeColor="text1"/>
          <w:kern w:val="2"/>
          <w:sz w:val="24"/>
          <w:szCs w:val="22"/>
        </w:rPr>
        <w:t>，相对应的违约利差为</w:t>
      </w:r>
      <w:r w:rsidRPr="00A214B0">
        <w:rPr>
          <w:color w:val="000000" w:themeColor="text1"/>
          <w:kern w:val="2"/>
          <w:sz w:val="24"/>
          <w:szCs w:val="22"/>
        </w:rPr>
        <w:t>79</w:t>
      </w:r>
      <w:r w:rsidRPr="00A214B0">
        <w:rPr>
          <w:color w:val="000000" w:themeColor="text1"/>
          <w:kern w:val="2"/>
          <w:sz w:val="24"/>
          <w:szCs w:val="22"/>
        </w:rPr>
        <w:t>个基点，即</w:t>
      </w:r>
      <w:r w:rsidRPr="00A214B0">
        <w:rPr>
          <w:color w:val="000000" w:themeColor="text1"/>
          <w:kern w:val="2"/>
          <w:sz w:val="24"/>
          <w:szCs w:val="22"/>
        </w:rPr>
        <w:t>0.79%</w:t>
      </w:r>
      <w:r w:rsidRPr="00A214B0">
        <w:rPr>
          <w:color w:val="000000" w:themeColor="text1"/>
          <w:kern w:val="2"/>
          <w:sz w:val="24"/>
          <w:szCs w:val="22"/>
        </w:rPr>
        <w:t>。</w:t>
      </w:r>
    </w:p>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3</w:t>
      </w:r>
      <w:r w:rsidRPr="00A214B0">
        <w:rPr>
          <w:color w:val="000000" w:themeColor="text1"/>
          <w:kern w:val="2"/>
          <w:sz w:val="24"/>
          <w:szCs w:val="22"/>
        </w:rPr>
        <w:t>）</w:t>
      </w:r>
      <w:r w:rsidRPr="00A214B0">
        <w:rPr>
          <w:color w:val="000000" w:themeColor="text1"/>
          <w:kern w:val="2"/>
          <w:sz w:val="24"/>
          <w:szCs w:val="22"/>
        </w:rPr>
        <w:t>σ</w:t>
      </w:r>
      <w:r w:rsidRPr="00A214B0">
        <w:rPr>
          <w:color w:val="000000" w:themeColor="text1"/>
          <w:kern w:val="2"/>
          <w:sz w:val="24"/>
          <w:szCs w:val="22"/>
        </w:rPr>
        <w:t>股票</w:t>
      </w:r>
      <w:r w:rsidRPr="00A214B0">
        <w:rPr>
          <w:color w:val="000000" w:themeColor="text1"/>
          <w:kern w:val="2"/>
          <w:sz w:val="24"/>
          <w:szCs w:val="22"/>
        </w:rPr>
        <w:t>/σ</w:t>
      </w:r>
      <w:r w:rsidRPr="00A214B0">
        <w:rPr>
          <w:color w:val="000000" w:themeColor="text1"/>
          <w:kern w:val="2"/>
          <w:sz w:val="24"/>
          <w:szCs w:val="22"/>
        </w:rPr>
        <w:t>国债</w:t>
      </w:r>
    </w:p>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σ</w:t>
      </w:r>
      <w:r w:rsidRPr="00A214B0">
        <w:rPr>
          <w:color w:val="000000" w:themeColor="text1"/>
          <w:kern w:val="2"/>
          <w:sz w:val="24"/>
          <w:szCs w:val="22"/>
        </w:rPr>
        <w:t>股票</w:t>
      </w:r>
      <w:r w:rsidRPr="00A214B0">
        <w:rPr>
          <w:color w:val="000000" w:themeColor="text1"/>
          <w:kern w:val="2"/>
          <w:sz w:val="24"/>
          <w:szCs w:val="22"/>
        </w:rPr>
        <w:t>/σ</w:t>
      </w:r>
      <w:r w:rsidRPr="00A214B0">
        <w:rPr>
          <w:color w:val="000000" w:themeColor="text1"/>
          <w:kern w:val="2"/>
          <w:sz w:val="24"/>
          <w:szCs w:val="22"/>
        </w:rPr>
        <w:t>国债为股票市场相对于债券市场的波动率，</w:t>
      </w:r>
      <w:r w:rsidRPr="00A214B0">
        <w:rPr>
          <w:color w:val="000000" w:themeColor="text1"/>
          <w:kern w:val="2"/>
          <w:sz w:val="24"/>
          <w:szCs w:val="22"/>
        </w:rPr>
        <w:t>Damodaran</w:t>
      </w:r>
      <w:r w:rsidRPr="00A214B0">
        <w:rPr>
          <w:color w:val="000000" w:themeColor="text1"/>
          <w:kern w:val="2"/>
          <w:sz w:val="24"/>
          <w:szCs w:val="22"/>
        </w:rPr>
        <w:t>在本次计算中使用</w:t>
      </w:r>
      <w:r w:rsidRPr="00A214B0">
        <w:rPr>
          <w:color w:val="000000" w:themeColor="text1"/>
          <w:kern w:val="2"/>
          <w:sz w:val="24"/>
          <w:szCs w:val="22"/>
        </w:rPr>
        <w:t>1.23</w:t>
      </w:r>
      <w:r w:rsidRPr="00A214B0">
        <w:rPr>
          <w:color w:val="000000" w:themeColor="text1"/>
          <w:kern w:val="2"/>
          <w:sz w:val="24"/>
          <w:szCs w:val="22"/>
        </w:rPr>
        <w:t>倍的比率代表新兴市场的波动率。</w:t>
      </w:r>
    </w:p>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4</w:t>
      </w:r>
      <w:r w:rsidRPr="00A214B0">
        <w:rPr>
          <w:color w:val="000000" w:themeColor="text1"/>
          <w:kern w:val="2"/>
          <w:sz w:val="24"/>
          <w:szCs w:val="22"/>
        </w:rPr>
        <w:t>）市场风险溢价</w:t>
      </w:r>
    </w:p>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基于历史的股票风险补偿，成熟股票市场的风险溢价通常选择基于长期国债的</w:t>
      </w:r>
      <w:r w:rsidRPr="00A214B0">
        <w:rPr>
          <w:color w:val="000000" w:themeColor="text1"/>
          <w:kern w:val="2"/>
          <w:sz w:val="24"/>
          <w:szCs w:val="22"/>
        </w:rPr>
        <w:t>1928</w:t>
      </w:r>
      <w:r w:rsidRPr="00A214B0">
        <w:rPr>
          <w:color w:val="000000" w:themeColor="text1"/>
          <w:kern w:val="2"/>
          <w:sz w:val="24"/>
          <w:szCs w:val="22"/>
        </w:rPr>
        <w:t>年至</w:t>
      </w:r>
      <w:r w:rsidRPr="00A214B0">
        <w:rPr>
          <w:color w:val="000000" w:themeColor="text1"/>
          <w:kern w:val="2"/>
          <w:sz w:val="24"/>
          <w:szCs w:val="22"/>
        </w:rPr>
        <w:t>2018</w:t>
      </w:r>
      <w:r w:rsidRPr="00A214B0">
        <w:rPr>
          <w:color w:val="000000" w:themeColor="text1"/>
          <w:kern w:val="2"/>
          <w:sz w:val="24"/>
          <w:szCs w:val="22"/>
        </w:rPr>
        <w:t>年的股票风险补偿</w:t>
      </w:r>
      <w:r w:rsidRPr="00A214B0">
        <w:rPr>
          <w:color w:val="000000" w:themeColor="text1"/>
          <w:kern w:val="2"/>
          <w:sz w:val="24"/>
          <w:szCs w:val="22"/>
        </w:rPr>
        <w:t>6.26%</w:t>
      </w:r>
      <w:r w:rsidRPr="00A214B0">
        <w:rPr>
          <w:color w:val="000000" w:themeColor="text1"/>
          <w:kern w:val="2"/>
          <w:sz w:val="24"/>
          <w:szCs w:val="22"/>
        </w:rPr>
        <w:t>。</w:t>
      </w:r>
    </w:p>
    <w:p w:rsidR="00D56508" w:rsidRPr="00A214B0" w:rsidRDefault="00F1265B">
      <w:pPr>
        <w:pStyle w:val="aa"/>
        <w:adjustRightInd w:val="0"/>
        <w:snapToGrid w:val="0"/>
        <w:spacing w:line="360" w:lineRule="auto"/>
        <w:ind w:firstLineChars="200" w:firstLine="480"/>
        <w:rPr>
          <w:color w:val="000000" w:themeColor="text1"/>
          <w:kern w:val="2"/>
          <w:sz w:val="24"/>
          <w:szCs w:val="22"/>
        </w:rPr>
      </w:pPr>
      <w:r w:rsidRPr="00A214B0">
        <w:rPr>
          <w:color w:val="000000" w:themeColor="text1"/>
          <w:kern w:val="2"/>
          <w:sz w:val="24"/>
          <w:szCs w:val="22"/>
        </w:rPr>
        <w:t>我国市场风险溢价</w:t>
      </w:r>
      <w:r w:rsidRPr="00A214B0">
        <w:rPr>
          <w:color w:val="000000" w:themeColor="text1"/>
          <w:kern w:val="2"/>
          <w:sz w:val="24"/>
          <w:szCs w:val="22"/>
        </w:rPr>
        <w:t xml:space="preserve">RPm =6.26%+0.79%×1.23=7.24% </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(4)</w:t>
      </w:r>
      <w:r w:rsidRPr="00A214B0">
        <w:rPr>
          <w:color w:val="000000" w:themeColor="text1"/>
          <w:sz w:val="24"/>
          <w:szCs w:val="24"/>
        </w:rPr>
        <w:t>企业特定风险调整系数</w:t>
      </w:r>
      <w:r w:rsidRPr="00A214B0">
        <w:rPr>
          <w:color w:val="000000" w:themeColor="text1"/>
          <w:sz w:val="24"/>
          <w:szCs w:val="24"/>
        </w:rPr>
        <w:t xml:space="preserve"> Rc </w:t>
      </w:r>
      <w:r w:rsidRPr="00A214B0">
        <w:rPr>
          <w:color w:val="000000" w:themeColor="text1"/>
          <w:sz w:val="24"/>
          <w:szCs w:val="24"/>
        </w:rPr>
        <w:t>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由于测算风险系数时选取的为上市公司，与参照上市公司相比，企业为非上市公司，应考虑该企业特有风险产生的超额收益率。</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本次评估考虑到被评估单位的融资条件、资本流动性以及公司的治理结构和被评估单位资本债务结果等方面与可比上市公司的差异性所可能产生的特性个体风险，确定企业特有风险超额回报率</w:t>
      </w:r>
      <w:r w:rsidRPr="00A214B0">
        <w:rPr>
          <w:color w:val="000000" w:themeColor="text1"/>
          <w:sz w:val="24"/>
          <w:szCs w:val="24"/>
        </w:rPr>
        <w:t xml:space="preserve"> Rc</w:t>
      </w:r>
      <w:r w:rsidRPr="00A214B0">
        <w:rPr>
          <w:color w:val="000000" w:themeColor="text1"/>
          <w:sz w:val="24"/>
          <w:szCs w:val="24"/>
        </w:rPr>
        <w:t>为</w:t>
      </w:r>
      <w:r w:rsidR="00E51BBC" w:rsidRPr="00A214B0">
        <w:rPr>
          <w:color w:val="000000" w:themeColor="text1"/>
          <w:sz w:val="24"/>
          <w:szCs w:val="24"/>
        </w:rPr>
        <w:t>3</w:t>
      </w:r>
      <w:r w:rsidRPr="00A214B0">
        <w:rPr>
          <w:color w:val="000000" w:themeColor="text1"/>
          <w:sz w:val="24"/>
          <w:szCs w:val="24"/>
        </w:rPr>
        <w:t>%</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(5)</w:t>
      </w:r>
      <w:r w:rsidRPr="00A214B0">
        <w:rPr>
          <w:color w:val="000000" w:themeColor="text1"/>
          <w:sz w:val="24"/>
          <w:szCs w:val="24"/>
        </w:rPr>
        <w:t>权益资本成本</w:t>
      </w:r>
      <w:r w:rsidRPr="00A214B0">
        <w:rPr>
          <w:color w:val="000000" w:themeColor="text1"/>
          <w:sz w:val="24"/>
          <w:szCs w:val="24"/>
        </w:rPr>
        <w:t xml:space="preserve"> Ke </w:t>
      </w:r>
      <w:r w:rsidRPr="00A214B0">
        <w:rPr>
          <w:color w:val="000000" w:themeColor="text1"/>
          <w:sz w:val="24"/>
          <w:szCs w:val="24"/>
        </w:rPr>
        <w:t>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根据上述确定的参数，计算权益资本成本：</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Ke</w:t>
      </w:r>
      <w:r w:rsidRPr="00A214B0">
        <w:rPr>
          <w:color w:val="000000" w:themeColor="text1"/>
          <w:sz w:val="24"/>
          <w:szCs w:val="24"/>
        </w:rPr>
        <w:t>（</w:t>
      </w:r>
      <w:r w:rsidRPr="00A214B0">
        <w:rPr>
          <w:color w:val="000000" w:themeColor="text1"/>
          <w:sz w:val="24"/>
          <w:szCs w:val="24"/>
        </w:rPr>
        <w:t>15%</w:t>
      </w:r>
      <w:r w:rsidRPr="00A214B0">
        <w:rPr>
          <w:color w:val="000000" w:themeColor="text1"/>
          <w:sz w:val="24"/>
          <w:szCs w:val="24"/>
        </w:rPr>
        <w:t>税率）</w:t>
      </w:r>
      <w:r w:rsidRPr="00A214B0">
        <w:rPr>
          <w:color w:val="000000" w:themeColor="text1"/>
          <w:sz w:val="24"/>
          <w:szCs w:val="24"/>
        </w:rPr>
        <w:t>=Rf+β×ERP+Rc</w:t>
      </w:r>
    </w:p>
    <w:p w:rsidR="00D56508" w:rsidRPr="00A214B0" w:rsidRDefault="00E51BBC">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=3.98%+7.24 %×</w:t>
      </w:r>
      <w:r w:rsidR="00CA2D13" w:rsidRPr="00A214B0">
        <w:rPr>
          <w:color w:val="000000" w:themeColor="text1"/>
          <w:sz w:val="24"/>
          <w:szCs w:val="24"/>
        </w:rPr>
        <w:t>1.3920</w:t>
      </w:r>
      <w:r w:rsidRPr="00A214B0">
        <w:rPr>
          <w:color w:val="000000" w:themeColor="text1"/>
          <w:sz w:val="24"/>
          <w:szCs w:val="24"/>
        </w:rPr>
        <w:t xml:space="preserve"> +3</w:t>
      </w:r>
      <w:r w:rsidR="00F1265B"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t>
      </w:r>
      <w:r w:rsidRPr="00A214B0">
        <w:rPr>
          <w:color w:val="000000" w:themeColor="text1"/>
        </w:rPr>
        <w:t xml:space="preserve"> </w:t>
      </w:r>
      <w:r w:rsidR="00E51BBC" w:rsidRPr="00A214B0">
        <w:rPr>
          <w:color w:val="000000" w:themeColor="text1"/>
          <w:sz w:val="24"/>
          <w:szCs w:val="24"/>
        </w:rPr>
        <w:t>17</w:t>
      </w:r>
      <w:r w:rsidR="00CA2D13" w:rsidRPr="00A214B0">
        <w:rPr>
          <w:color w:val="000000" w:themeColor="text1"/>
          <w:sz w:val="24"/>
          <w:szCs w:val="24"/>
        </w:rPr>
        <w:t>.06</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Ke</w:t>
      </w:r>
      <w:r w:rsidRPr="00A214B0">
        <w:rPr>
          <w:color w:val="000000" w:themeColor="text1"/>
          <w:sz w:val="24"/>
          <w:szCs w:val="24"/>
        </w:rPr>
        <w:t>（</w:t>
      </w:r>
      <w:r w:rsidRPr="00A214B0">
        <w:rPr>
          <w:color w:val="000000" w:themeColor="text1"/>
          <w:sz w:val="24"/>
          <w:szCs w:val="24"/>
        </w:rPr>
        <w:t>25%</w:t>
      </w:r>
      <w:r w:rsidRPr="00A214B0">
        <w:rPr>
          <w:color w:val="000000" w:themeColor="text1"/>
          <w:sz w:val="24"/>
          <w:szCs w:val="24"/>
        </w:rPr>
        <w:t>税率）</w:t>
      </w:r>
      <w:r w:rsidRPr="00A214B0">
        <w:rPr>
          <w:color w:val="000000" w:themeColor="text1"/>
          <w:sz w:val="24"/>
          <w:szCs w:val="24"/>
        </w:rPr>
        <w:t>=Rf+β×ERP+Rc</w:t>
      </w:r>
    </w:p>
    <w:p w:rsidR="00D56508" w:rsidRPr="00A214B0" w:rsidRDefault="00CA2D13">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=3.98%+7.24 %×1.3478</w:t>
      </w:r>
      <w:r w:rsidR="00E51BBC" w:rsidRPr="00A214B0">
        <w:rPr>
          <w:color w:val="000000" w:themeColor="text1"/>
          <w:sz w:val="24"/>
          <w:szCs w:val="24"/>
        </w:rPr>
        <w:t>+3</w:t>
      </w:r>
      <w:r w:rsidR="00F1265B" w:rsidRPr="00A214B0">
        <w:rPr>
          <w:color w:val="000000" w:themeColor="text1"/>
          <w:sz w:val="24"/>
          <w:szCs w:val="24"/>
        </w:rPr>
        <w:t>%</w:t>
      </w:r>
    </w:p>
    <w:p w:rsidR="00D56508" w:rsidRPr="00A214B0" w:rsidRDefault="00F1265B" w:rsidP="00E51BBC">
      <w:pPr>
        <w:ind w:firstLineChars="200" w:firstLine="480"/>
        <w:jc w:val="left"/>
        <w:rPr>
          <w:rFonts w:ascii="Times New Roman" w:eastAsia="宋体" w:hAnsi="Times New Roman" w:cs="Times New Roman"/>
          <w:color w:val="000000" w:themeColor="text1"/>
          <w:kern w:val="0"/>
          <w:sz w:val="24"/>
          <w:szCs w:val="24"/>
        </w:rPr>
      </w:pPr>
      <w:r w:rsidRPr="00A214B0">
        <w:rPr>
          <w:rFonts w:ascii="Times New Roman" w:eastAsia="宋体" w:hAnsi="Times New Roman" w:cs="Times New Roman"/>
          <w:color w:val="000000" w:themeColor="text1"/>
          <w:kern w:val="0"/>
          <w:sz w:val="24"/>
          <w:szCs w:val="24"/>
        </w:rPr>
        <w:t>=</w:t>
      </w:r>
      <w:r w:rsidR="00CA2D13" w:rsidRPr="00A214B0">
        <w:rPr>
          <w:rFonts w:ascii="Times New Roman" w:eastAsia="宋体" w:hAnsi="Times New Roman" w:cs="Times New Roman"/>
          <w:color w:val="000000" w:themeColor="text1"/>
          <w:kern w:val="0"/>
          <w:sz w:val="24"/>
          <w:szCs w:val="24"/>
        </w:rPr>
        <w:t>16.74</w:t>
      </w:r>
      <w:r w:rsidR="00E51BBC" w:rsidRPr="00A214B0">
        <w:rPr>
          <w:rFonts w:ascii="Times New Roman" w:eastAsia="宋体" w:hAnsi="Times New Roman" w:cs="Times New Roman"/>
          <w:color w:val="000000" w:themeColor="text1"/>
          <w:kern w:val="0"/>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2</w:t>
      </w:r>
      <w:r w:rsidRPr="00A214B0">
        <w:rPr>
          <w:color w:val="000000" w:themeColor="text1"/>
          <w:sz w:val="24"/>
          <w:szCs w:val="24"/>
        </w:rPr>
        <w:t>、债务资本成本</w:t>
      </w:r>
      <w:r w:rsidRPr="00A214B0">
        <w:rPr>
          <w:color w:val="000000" w:themeColor="text1"/>
          <w:sz w:val="24"/>
          <w:szCs w:val="24"/>
        </w:rPr>
        <w:t>(Kd)</w:t>
      </w:r>
      <w:r w:rsidRPr="00A214B0">
        <w:rPr>
          <w:color w:val="000000" w:themeColor="text1"/>
          <w:sz w:val="24"/>
          <w:szCs w:val="24"/>
        </w:rPr>
        <w:t>的确定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以实际借款综合利率</w:t>
      </w:r>
      <w:r w:rsidRPr="00A214B0">
        <w:rPr>
          <w:color w:val="000000" w:themeColor="text1"/>
          <w:sz w:val="24"/>
          <w:szCs w:val="24"/>
        </w:rPr>
        <w:t>6.14%</w:t>
      </w:r>
      <w:r w:rsidRPr="00A214B0">
        <w:rPr>
          <w:color w:val="000000" w:themeColor="text1"/>
          <w:sz w:val="24"/>
          <w:szCs w:val="24"/>
        </w:rPr>
        <w:t>确定。</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3</w:t>
      </w:r>
      <w:r w:rsidRPr="00A214B0">
        <w:rPr>
          <w:color w:val="000000" w:themeColor="text1"/>
          <w:sz w:val="24"/>
          <w:szCs w:val="24"/>
        </w:rPr>
        <w:t>、</w:t>
      </w:r>
      <w:r w:rsidRPr="00A214B0">
        <w:rPr>
          <w:color w:val="000000" w:themeColor="text1"/>
          <w:sz w:val="24"/>
          <w:szCs w:val="24"/>
        </w:rPr>
        <w:t xml:space="preserve">WACC </w:t>
      </w:r>
      <w:r w:rsidRPr="00A214B0">
        <w:rPr>
          <w:color w:val="000000" w:themeColor="text1"/>
          <w:sz w:val="24"/>
          <w:szCs w:val="24"/>
        </w:rPr>
        <w:t>的确定公式：</w:t>
      </w:r>
      <w:r w:rsidRPr="00A214B0">
        <w:rPr>
          <w:color w:val="000000" w:themeColor="text1"/>
          <w:sz w:val="24"/>
          <w:szCs w:val="24"/>
        </w:rPr>
        <w:t xml:space="preserve">WACC </w:t>
      </w:r>
      <w:r w:rsidRPr="00A214B0">
        <w:rPr>
          <w:color w:val="000000" w:themeColor="text1"/>
          <w:sz w:val="24"/>
          <w:szCs w:val="24"/>
        </w:rPr>
        <w:t>税后</w:t>
      </w:r>
      <w:r w:rsidRPr="00A214B0">
        <w:rPr>
          <w:color w:val="000000" w:themeColor="text1"/>
          <w:sz w:val="24"/>
          <w:szCs w:val="24"/>
        </w:rPr>
        <w:t>= Ke×E/(D+E)+ Kd×D/(D+E)×(1-T)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WACC(15%</w:t>
      </w:r>
      <w:r w:rsidRPr="00A214B0">
        <w:rPr>
          <w:color w:val="000000" w:themeColor="text1"/>
          <w:sz w:val="24"/>
          <w:szCs w:val="24"/>
        </w:rPr>
        <w:t>税率</w:t>
      </w:r>
      <w:r w:rsidRPr="00A214B0">
        <w:rPr>
          <w:color w:val="000000" w:themeColor="text1"/>
          <w:sz w:val="24"/>
          <w:szCs w:val="24"/>
        </w:rPr>
        <w:t>)=1</w:t>
      </w:r>
      <w:r w:rsidR="00E51BBC" w:rsidRPr="00A214B0">
        <w:rPr>
          <w:color w:val="000000" w:themeColor="text1"/>
          <w:sz w:val="24"/>
          <w:szCs w:val="24"/>
        </w:rPr>
        <w:t>3.4</w:t>
      </w:r>
      <w:r w:rsidR="00CA2D13" w:rsidRPr="00A214B0">
        <w:rPr>
          <w:color w:val="000000" w:themeColor="text1"/>
          <w:sz w:val="24"/>
          <w:szCs w:val="24"/>
        </w:rPr>
        <w:t>7</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4"/>
        </w:rPr>
      </w:pPr>
      <w:r w:rsidRPr="00A214B0">
        <w:rPr>
          <w:color w:val="000000" w:themeColor="text1"/>
          <w:sz w:val="24"/>
          <w:szCs w:val="24"/>
        </w:rPr>
        <w:t>WACC(25%</w:t>
      </w:r>
      <w:r w:rsidRPr="00A214B0">
        <w:rPr>
          <w:color w:val="000000" w:themeColor="text1"/>
          <w:sz w:val="24"/>
          <w:szCs w:val="24"/>
        </w:rPr>
        <w:t>税率</w:t>
      </w:r>
      <w:r w:rsidRPr="00A214B0">
        <w:rPr>
          <w:color w:val="000000" w:themeColor="text1"/>
          <w:sz w:val="24"/>
          <w:szCs w:val="24"/>
        </w:rPr>
        <w:t>)=</w:t>
      </w:r>
      <w:r w:rsidR="00E51BBC" w:rsidRPr="00A214B0">
        <w:rPr>
          <w:color w:val="000000" w:themeColor="text1"/>
          <w:sz w:val="24"/>
          <w:szCs w:val="24"/>
        </w:rPr>
        <w:t>13.0</w:t>
      </w:r>
      <w:r w:rsidR="00CA2D13" w:rsidRPr="00A214B0">
        <w:rPr>
          <w:color w:val="000000" w:themeColor="text1"/>
          <w:sz w:val="24"/>
          <w:szCs w:val="24"/>
        </w:rPr>
        <w:t>6</w:t>
      </w:r>
      <w:r w:rsidRPr="00A214B0">
        <w:rPr>
          <w:color w:val="000000" w:themeColor="text1"/>
          <w:sz w:val="24"/>
          <w:szCs w:val="24"/>
        </w:rPr>
        <w:t>%</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评估值测算过程与结果</w:t>
      </w:r>
      <w:bookmarkEnd w:id="115"/>
    </w:p>
    <w:tbl>
      <w:tblPr>
        <w:tblW w:w="5490" w:type="pct"/>
        <w:jc w:val="center"/>
        <w:tblInd w:w="-885" w:type="dxa"/>
        <w:tblLayout w:type="fixed"/>
        <w:tblLook w:val="04A0" w:firstRow="1" w:lastRow="0" w:firstColumn="1" w:lastColumn="0" w:noHBand="0" w:noVBand="1"/>
      </w:tblPr>
      <w:tblGrid>
        <w:gridCol w:w="2564"/>
        <w:gridCol w:w="1054"/>
        <w:gridCol w:w="1053"/>
        <w:gridCol w:w="1055"/>
        <w:gridCol w:w="1053"/>
        <w:gridCol w:w="1055"/>
        <w:gridCol w:w="1053"/>
        <w:gridCol w:w="1049"/>
      </w:tblGrid>
      <w:tr w:rsidR="00445BC6" w:rsidRPr="00A214B0" w:rsidTr="00445BC6">
        <w:trPr>
          <w:trHeight w:val="315"/>
          <w:jc w:val="center"/>
        </w:trPr>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年</w:t>
            </w:r>
            <w:r w:rsidRPr="00A214B0">
              <w:rPr>
                <w:rFonts w:ascii="Times New Roman" w:hAnsi="Times New Roman" w:cs="Times New Roman"/>
                <w:color w:val="000000" w:themeColor="text1"/>
                <w:sz w:val="20"/>
                <w:szCs w:val="20"/>
              </w:rPr>
              <w:t xml:space="preserve">      </w:t>
            </w:r>
            <w:r w:rsidRPr="00A214B0">
              <w:rPr>
                <w:rFonts w:ascii="Times New Roman" w:hAnsi="Times New Roman" w:cs="Times New Roman" w:hint="eastAsia"/>
                <w:color w:val="000000" w:themeColor="text1"/>
                <w:sz w:val="20"/>
                <w:szCs w:val="20"/>
              </w:rPr>
              <w:t>份</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2019</w:t>
            </w:r>
            <w:r w:rsidRPr="00A214B0">
              <w:rPr>
                <w:rFonts w:ascii="Times New Roman" w:hAnsi="Times New Roman" w:cs="Times New Roman"/>
                <w:color w:val="000000" w:themeColor="text1"/>
                <w:sz w:val="20"/>
                <w:szCs w:val="20"/>
              </w:rPr>
              <w:t>年</w:t>
            </w:r>
            <w:r w:rsidRPr="00A214B0">
              <w:rPr>
                <w:rFonts w:ascii="Times New Roman" w:hAnsi="Times New Roman" w:cs="Times New Roman"/>
                <w:color w:val="000000" w:themeColor="text1"/>
                <w:sz w:val="20"/>
                <w:szCs w:val="20"/>
              </w:rPr>
              <w:t>5-12</w:t>
            </w:r>
            <w:r w:rsidRPr="00A214B0">
              <w:rPr>
                <w:rFonts w:ascii="Times New Roman" w:hAnsi="Times New Roman" w:cs="Times New Roman"/>
                <w:color w:val="000000" w:themeColor="text1"/>
                <w:sz w:val="20"/>
                <w:szCs w:val="20"/>
              </w:rPr>
              <w:t>月</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2020</w:t>
            </w:r>
            <w:r w:rsidRPr="00A214B0">
              <w:rPr>
                <w:rFonts w:ascii="Times New Roman" w:hAnsi="Times New Roman" w:cs="Times New Roman"/>
                <w:color w:val="000000" w:themeColor="text1"/>
                <w:sz w:val="20"/>
                <w:szCs w:val="20"/>
              </w:rPr>
              <w:t>年</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2021</w:t>
            </w:r>
            <w:r w:rsidRPr="00A214B0">
              <w:rPr>
                <w:rFonts w:ascii="Times New Roman" w:hAnsi="Times New Roman" w:cs="Times New Roman"/>
                <w:color w:val="000000" w:themeColor="text1"/>
                <w:sz w:val="20"/>
                <w:szCs w:val="20"/>
              </w:rPr>
              <w:t>年</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2022</w:t>
            </w:r>
            <w:r w:rsidRPr="00A214B0">
              <w:rPr>
                <w:rFonts w:ascii="Times New Roman" w:hAnsi="Times New Roman" w:cs="Times New Roman"/>
                <w:color w:val="000000" w:themeColor="text1"/>
                <w:sz w:val="20"/>
                <w:szCs w:val="20"/>
              </w:rPr>
              <w:t>年</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2023</w:t>
            </w:r>
            <w:r w:rsidRPr="00A214B0">
              <w:rPr>
                <w:rFonts w:ascii="Times New Roman" w:hAnsi="Times New Roman" w:cs="Times New Roman"/>
                <w:color w:val="000000" w:themeColor="text1"/>
                <w:sz w:val="20"/>
                <w:szCs w:val="20"/>
              </w:rPr>
              <w:t>年</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2024</w:t>
            </w:r>
            <w:r w:rsidRPr="00A214B0">
              <w:rPr>
                <w:rFonts w:ascii="Times New Roman" w:hAnsi="Times New Roman" w:cs="Times New Roman"/>
                <w:color w:val="000000" w:themeColor="text1"/>
                <w:sz w:val="20"/>
                <w:szCs w:val="20"/>
              </w:rPr>
              <w:t>年</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永续</w:t>
            </w:r>
          </w:p>
        </w:tc>
      </w:tr>
      <w:tr w:rsidR="00445BC6" w:rsidRPr="00A214B0" w:rsidTr="00445BC6">
        <w:trPr>
          <w:trHeight w:val="31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项</w:t>
            </w:r>
            <w:r w:rsidRPr="00A214B0">
              <w:rPr>
                <w:rFonts w:ascii="Times New Roman" w:hAnsi="Times New Roman" w:cs="Times New Roman"/>
                <w:color w:val="000000" w:themeColor="text1"/>
                <w:sz w:val="20"/>
                <w:szCs w:val="20"/>
              </w:rPr>
              <w:t xml:space="preserve">          </w:t>
            </w:r>
            <w:r w:rsidRPr="00A214B0">
              <w:rPr>
                <w:rFonts w:ascii="Times New Roman" w:hAnsi="Times New Roman" w:cs="Times New Roman" w:hint="eastAsia"/>
                <w:color w:val="000000" w:themeColor="text1"/>
                <w:sz w:val="20"/>
                <w:szCs w:val="20"/>
              </w:rPr>
              <w:t>目</w:t>
            </w:r>
          </w:p>
        </w:tc>
        <w:tc>
          <w:tcPr>
            <w:tcW w:w="530"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0.33</w:t>
            </w:r>
          </w:p>
        </w:tc>
        <w:tc>
          <w:tcPr>
            <w:tcW w:w="530"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1.17</w:t>
            </w:r>
          </w:p>
        </w:tc>
        <w:tc>
          <w:tcPr>
            <w:tcW w:w="531"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2.17</w:t>
            </w:r>
          </w:p>
        </w:tc>
        <w:tc>
          <w:tcPr>
            <w:tcW w:w="530"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3.17</w:t>
            </w:r>
          </w:p>
        </w:tc>
        <w:tc>
          <w:tcPr>
            <w:tcW w:w="531"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4.17</w:t>
            </w:r>
          </w:p>
        </w:tc>
        <w:tc>
          <w:tcPr>
            <w:tcW w:w="530"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5.17</w:t>
            </w:r>
          </w:p>
        </w:tc>
        <w:tc>
          <w:tcPr>
            <w:tcW w:w="529" w:type="pct"/>
            <w:tcBorders>
              <w:top w:val="nil"/>
              <w:left w:val="nil"/>
              <w:bottom w:val="single" w:sz="4" w:space="0" w:color="auto"/>
              <w:right w:val="single" w:sz="4" w:space="0" w:color="auto"/>
            </w:tcBorders>
            <w:shd w:val="clear" w:color="auto" w:fill="auto"/>
            <w:noWrap/>
            <w:vAlign w:val="center"/>
            <w:hideMark/>
          </w:tcPr>
          <w:p w:rsidR="00E51BBC" w:rsidRPr="00A214B0" w:rsidRDefault="00E51BBC" w:rsidP="00E51BBC">
            <w:pPr>
              <w:jc w:val="center"/>
              <w:rPr>
                <w:rFonts w:ascii="Times New Roman" w:hAnsi="Times New Roman" w:cs="Times New Roman"/>
                <w:color w:val="000000" w:themeColor="text1"/>
                <w:sz w:val="20"/>
                <w:szCs w:val="20"/>
              </w:rPr>
            </w:pP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一、营业收入</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5,748.94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10,629.18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11,266.93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11,830.28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12,303.49</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12,672.60</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12,672.60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主营业务收入</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5,748.94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10,629.18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11,266.93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11,830.28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12,303.49</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12,672.60</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12,672.60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其他业务收入</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29"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二、营业成本</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2,470.10</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3,883.06</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3,905.73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3,972.76</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3,857.72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3,845.49</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3,699.64</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主营业务成本</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2,470.10</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3,883.06</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3,905.73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3,972.76</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3,857.72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3,845.49</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3,699.64</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其他业务成本</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p>
        </w:tc>
        <w:tc>
          <w:tcPr>
            <w:tcW w:w="529"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营业税金及附加</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76.44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116.01</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119.04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121.71</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123.95</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125.70</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125.70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营业费用</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201.61</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334.38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356.44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378.54</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400.56</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405.22</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405.22</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管理费用</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1,126.45</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1,831.83</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1,914.85</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2,002.38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2,087.43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2,108.42</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2,122.90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财务费用</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551.68</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827.51</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827.51</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827.51</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827.51</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827.51</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827.51</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资产减值损失</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投资收益</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三、营业利润</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1,322.67</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3,636.40</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4,143.37</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4,527.38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5,006.32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5,360.26</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5,491.62</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营业外收入</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29"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营业外支出</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1"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30"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c>
          <w:tcPr>
            <w:tcW w:w="529" w:type="pct"/>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0.00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四、利润总额</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1,322.67</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3,636.40</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4,143.37</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4,527.38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5,006.32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5,360.26</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5,491.62</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jc w:val="cente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减：所得税费用</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337.43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474.30</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581.96</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1,061.52</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1,176.65</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1,264.80</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1,297.64</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五、净利润</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985.24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3,162.10</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3,561.42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3,465.86</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3,829.67</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4,095.46</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4,193.98</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加：折旧摊销</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1,785.20</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2,731.57</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2,635.79</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2,594.18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2,367.82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2,337.77</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2,206.41</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加：借款利息</w:t>
            </w:r>
            <w:r w:rsidRPr="00A214B0">
              <w:rPr>
                <w:rFonts w:ascii="Times New Roman" w:hAnsi="Times New Roman" w:cs="Times New Roman" w:hint="eastAsia"/>
                <w:color w:val="000000" w:themeColor="text1"/>
                <w:sz w:val="20"/>
                <w:szCs w:val="20"/>
              </w:rPr>
              <w:t>(</w:t>
            </w:r>
            <w:r w:rsidRPr="00A214B0">
              <w:rPr>
                <w:rFonts w:ascii="Times New Roman" w:hAnsi="Times New Roman" w:cs="Times New Roman" w:hint="eastAsia"/>
                <w:color w:val="000000" w:themeColor="text1"/>
                <w:sz w:val="20"/>
                <w:szCs w:val="20"/>
              </w:rPr>
              <w:t>税后）</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468.92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703.39</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703.39</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620.63</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620.63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620.63</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620.63</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减：资本性支出</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25.41</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53.22</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31.04</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76.17</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168.20</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87.97</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2,030.09</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减：营运资金增加额</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12.92</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92.01</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88.53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75.03</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83.83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46.72</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六、企业自由现金流量</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3,201.03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6,451.83</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6,781.03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6,529.49</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6,566.09</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6,919.16</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4,990.93</w:t>
            </w:r>
          </w:p>
        </w:tc>
      </w:tr>
      <w:tr w:rsidR="00D972E5"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tcPr>
          <w:p w:rsidR="00D972E5" w:rsidRPr="00A214B0" w:rsidRDefault="00D972E5"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折现率</w:t>
            </w:r>
          </w:p>
        </w:tc>
        <w:tc>
          <w:tcPr>
            <w:tcW w:w="530"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13.47%</w:t>
            </w:r>
          </w:p>
        </w:tc>
        <w:tc>
          <w:tcPr>
            <w:tcW w:w="530"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13.47%</w:t>
            </w:r>
          </w:p>
        </w:tc>
        <w:tc>
          <w:tcPr>
            <w:tcW w:w="531"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13.47%</w:t>
            </w:r>
          </w:p>
        </w:tc>
        <w:tc>
          <w:tcPr>
            <w:tcW w:w="530"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13.06%</w:t>
            </w:r>
          </w:p>
        </w:tc>
        <w:tc>
          <w:tcPr>
            <w:tcW w:w="531"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13.06%</w:t>
            </w:r>
          </w:p>
        </w:tc>
        <w:tc>
          <w:tcPr>
            <w:tcW w:w="530"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13.06%</w:t>
            </w:r>
          </w:p>
        </w:tc>
        <w:tc>
          <w:tcPr>
            <w:tcW w:w="529" w:type="pct"/>
            <w:tcBorders>
              <w:top w:val="nil"/>
              <w:left w:val="nil"/>
              <w:bottom w:val="single" w:sz="4" w:space="0" w:color="auto"/>
              <w:right w:val="single" w:sz="4" w:space="0" w:color="auto"/>
            </w:tcBorders>
            <w:shd w:val="clear" w:color="auto" w:fill="auto"/>
            <w:noWrap/>
          </w:tcPr>
          <w:p w:rsidR="00D972E5" w:rsidRPr="00A214B0" w:rsidRDefault="00D972E5" w:rsidP="00D972E5">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13.06%</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折现系数</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0.9588</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0.8629</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0.7605</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0.6779</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0.5996</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0.5303</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4.0600</w:t>
            </w:r>
          </w:p>
        </w:tc>
      </w:tr>
      <w:tr w:rsidR="00445BC6" w:rsidRPr="00A214B0" w:rsidTr="00445BC6">
        <w:trPr>
          <w:trHeight w:val="255"/>
          <w:jc w:val="center"/>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rsidR="00445BC6" w:rsidRPr="00A214B0" w:rsidRDefault="00445BC6" w:rsidP="00E51BBC">
            <w:pPr>
              <w:rPr>
                <w:rFonts w:ascii="Times New Roman" w:hAnsi="Times New Roman" w:cs="Times New Roman"/>
                <w:color w:val="000000" w:themeColor="text1"/>
                <w:sz w:val="20"/>
                <w:szCs w:val="20"/>
              </w:rPr>
            </w:pPr>
            <w:r w:rsidRPr="00A214B0">
              <w:rPr>
                <w:rFonts w:ascii="Times New Roman" w:hAnsi="Times New Roman" w:cs="Times New Roman" w:hint="eastAsia"/>
                <w:color w:val="000000" w:themeColor="text1"/>
                <w:sz w:val="20"/>
                <w:szCs w:val="20"/>
              </w:rPr>
              <w:t>七、企业自由现金流量折现</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3,069.15</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5,567.28</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5,156.97</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4,426.34</w:t>
            </w:r>
          </w:p>
        </w:tc>
        <w:tc>
          <w:tcPr>
            <w:tcW w:w="531"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3,937.03</w:t>
            </w:r>
          </w:p>
        </w:tc>
        <w:tc>
          <w:tcPr>
            <w:tcW w:w="530"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3,669.23</w:t>
            </w:r>
          </w:p>
        </w:tc>
        <w:tc>
          <w:tcPr>
            <w:tcW w:w="529" w:type="pct"/>
            <w:tcBorders>
              <w:top w:val="nil"/>
              <w:left w:val="nil"/>
              <w:bottom w:val="single" w:sz="4" w:space="0" w:color="auto"/>
              <w:right w:val="single" w:sz="4" w:space="0" w:color="auto"/>
            </w:tcBorders>
            <w:shd w:val="clear" w:color="auto" w:fill="auto"/>
            <w:noWrap/>
            <w:vAlign w:val="center"/>
            <w:hideMark/>
          </w:tcPr>
          <w:p w:rsidR="00445BC6" w:rsidRPr="00A214B0" w:rsidRDefault="00445BC6" w:rsidP="00445BC6">
            <w:pPr>
              <w:jc w:val="center"/>
              <w:rPr>
                <w:rFonts w:ascii="Arial Narrow" w:eastAsia="宋体" w:hAnsi="Arial Narrow" w:cs="宋体"/>
                <w:szCs w:val="21"/>
              </w:rPr>
            </w:pPr>
            <w:r w:rsidRPr="00A214B0">
              <w:rPr>
                <w:rFonts w:ascii="Arial Narrow" w:hAnsi="Arial Narrow"/>
                <w:szCs w:val="21"/>
              </w:rPr>
              <w:t>20,263.17</w:t>
            </w:r>
          </w:p>
        </w:tc>
      </w:tr>
      <w:tr w:rsidR="00E51BBC" w:rsidRPr="00A214B0" w:rsidTr="00445BC6">
        <w:trPr>
          <w:trHeight w:val="255"/>
          <w:jc w:val="center"/>
        </w:trPr>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1BBC" w:rsidRPr="00A214B0" w:rsidRDefault="00E51BBC" w:rsidP="00E51BBC">
            <w:pPr>
              <w:rPr>
                <w:rFonts w:ascii="宋体" w:eastAsia="宋体" w:hAnsi="宋体" w:cs="宋体"/>
                <w:sz w:val="15"/>
                <w:szCs w:val="15"/>
              </w:rPr>
            </w:pPr>
            <w:r w:rsidRPr="00A214B0">
              <w:rPr>
                <w:rFonts w:hint="eastAsia"/>
                <w:sz w:val="15"/>
                <w:szCs w:val="15"/>
              </w:rPr>
              <w:t>八、企业自由现金流量折现累计</w:t>
            </w:r>
          </w:p>
        </w:tc>
        <w:tc>
          <w:tcPr>
            <w:tcW w:w="3710" w:type="pct"/>
            <w:gridSpan w:val="7"/>
            <w:tcBorders>
              <w:top w:val="single" w:sz="4" w:space="0" w:color="auto"/>
              <w:left w:val="nil"/>
              <w:bottom w:val="single" w:sz="4" w:space="0" w:color="auto"/>
              <w:right w:val="single" w:sz="4" w:space="0" w:color="auto"/>
            </w:tcBorders>
            <w:shd w:val="clear" w:color="auto" w:fill="auto"/>
            <w:noWrap/>
            <w:vAlign w:val="center"/>
          </w:tcPr>
          <w:p w:rsidR="00E51BBC" w:rsidRPr="00A214B0" w:rsidRDefault="00445BC6" w:rsidP="00445BC6">
            <w:pPr>
              <w:jc w:val="center"/>
              <w:rPr>
                <w:rFonts w:ascii="Arial Narrow" w:eastAsia="宋体" w:hAnsi="Arial Narrow" w:cs="宋体"/>
                <w:sz w:val="18"/>
                <w:szCs w:val="18"/>
              </w:rPr>
            </w:pPr>
            <w:r w:rsidRPr="00A214B0">
              <w:rPr>
                <w:rFonts w:ascii="Arial Narrow" w:hAnsi="Arial Narrow"/>
                <w:szCs w:val="21"/>
              </w:rPr>
              <w:t xml:space="preserve">46,089.17 </w:t>
            </w:r>
          </w:p>
        </w:tc>
      </w:tr>
    </w:tbl>
    <w:p w:rsidR="00D56508" w:rsidRPr="00A214B0" w:rsidRDefault="00D56508">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（一）经营性资产价值的确定过程。</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1</w:t>
      </w:r>
      <w:r w:rsidRPr="00A214B0">
        <w:rPr>
          <w:color w:val="000000" w:themeColor="text1"/>
          <w:sz w:val="24"/>
          <w:szCs w:val="22"/>
        </w:rPr>
        <w:t>．企业终值的确定；</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（二）溢余资产价值的确定</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本次评估的溢余资产为溢余货币资金</w:t>
      </w:r>
    </w:p>
    <w:tbl>
      <w:tblPr>
        <w:tblW w:w="722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5"/>
        <w:gridCol w:w="2545"/>
        <w:gridCol w:w="2208"/>
      </w:tblGrid>
      <w:tr w:rsidR="00640DF2" w:rsidRPr="00A214B0" w:rsidTr="00640DF2">
        <w:trPr>
          <w:trHeight w:val="255"/>
          <w:tblHeader/>
          <w:jc w:val="center"/>
        </w:trPr>
        <w:tc>
          <w:tcPr>
            <w:tcW w:w="2475" w:type="dxa"/>
            <w:shd w:val="clear" w:color="auto" w:fill="auto"/>
            <w:noWrap/>
            <w:vAlign w:val="center"/>
          </w:tcPr>
          <w:p w:rsidR="00640DF2" w:rsidRPr="00A214B0" w:rsidRDefault="00640DF2">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项目</w:t>
            </w:r>
          </w:p>
        </w:tc>
        <w:tc>
          <w:tcPr>
            <w:tcW w:w="2545" w:type="dxa"/>
            <w:shd w:val="clear" w:color="auto" w:fill="auto"/>
            <w:noWrap/>
            <w:vAlign w:val="center"/>
          </w:tcPr>
          <w:p w:rsidR="00640DF2" w:rsidRPr="00A214B0" w:rsidRDefault="00640DF2">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账面值</w:t>
            </w:r>
          </w:p>
        </w:tc>
        <w:tc>
          <w:tcPr>
            <w:tcW w:w="2208" w:type="dxa"/>
            <w:shd w:val="clear" w:color="auto" w:fill="auto"/>
            <w:noWrap/>
            <w:vAlign w:val="center"/>
          </w:tcPr>
          <w:p w:rsidR="00640DF2" w:rsidRPr="00A214B0" w:rsidRDefault="00640DF2">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评估值</w:t>
            </w:r>
          </w:p>
        </w:tc>
      </w:tr>
      <w:tr w:rsidR="00640DF2" w:rsidRPr="00A214B0" w:rsidTr="00640DF2">
        <w:trPr>
          <w:trHeight w:val="255"/>
          <w:jc w:val="center"/>
        </w:trPr>
        <w:tc>
          <w:tcPr>
            <w:tcW w:w="2475" w:type="dxa"/>
            <w:shd w:val="clear" w:color="auto" w:fill="auto"/>
            <w:noWrap/>
            <w:vAlign w:val="center"/>
          </w:tcPr>
          <w:p w:rsidR="00640DF2" w:rsidRPr="00A214B0" w:rsidRDefault="00640DF2">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货币资金</w:t>
            </w:r>
          </w:p>
        </w:tc>
        <w:tc>
          <w:tcPr>
            <w:tcW w:w="2545" w:type="dxa"/>
            <w:shd w:val="clear" w:color="auto" w:fill="auto"/>
            <w:noWrap/>
            <w:vAlign w:val="center"/>
          </w:tcPr>
          <w:p w:rsidR="00640DF2" w:rsidRPr="00A214B0" w:rsidRDefault="00640DF2" w:rsidP="009C717F">
            <w:pPr>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 xml:space="preserve">1,630.72 </w:t>
            </w:r>
          </w:p>
        </w:tc>
        <w:tc>
          <w:tcPr>
            <w:tcW w:w="2208" w:type="dxa"/>
            <w:shd w:val="clear" w:color="auto" w:fill="auto"/>
            <w:noWrap/>
            <w:vAlign w:val="center"/>
          </w:tcPr>
          <w:p w:rsidR="00640DF2" w:rsidRPr="00A214B0" w:rsidRDefault="00640DF2">
            <w:pPr>
              <w:widowControl/>
              <w:jc w:val="center"/>
              <w:rPr>
                <w:rFonts w:ascii="Times New Roman" w:hAnsi="Times New Roman" w:cs="Times New Roman"/>
                <w:color w:val="000000" w:themeColor="text1"/>
                <w:sz w:val="20"/>
                <w:szCs w:val="20"/>
              </w:rPr>
            </w:pPr>
            <w:r w:rsidRPr="00A214B0">
              <w:rPr>
                <w:rFonts w:ascii="Times New Roman" w:hAnsi="Times New Roman" w:cs="Times New Roman"/>
                <w:color w:val="000000" w:themeColor="text1"/>
                <w:sz w:val="20"/>
                <w:szCs w:val="20"/>
              </w:rPr>
              <w:t>1,630.72</w:t>
            </w:r>
          </w:p>
        </w:tc>
      </w:tr>
    </w:tbl>
    <w:p w:rsidR="00D56508" w:rsidRPr="00A214B0" w:rsidRDefault="00D56508">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（三）非经营性资产价值的确定</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非经营性资产指与企业经营活动的收益无直接关系、企业自由现金流不包含其价值的资产。经清查，企业无经营性资产（负债）如下</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 xml:space="preserve">                                                </w:t>
      </w:r>
      <w:r w:rsidRPr="00A214B0">
        <w:rPr>
          <w:color w:val="000000" w:themeColor="text1"/>
          <w:sz w:val="24"/>
          <w:szCs w:val="22"/>
        </w:rPr>
        <w:t>单位：元</w:t>
      </w:r>
    </w:p>
    <w:tbl>
      <w:tblPr>
        <w:tblW w:w="9049" w:type="dxa"/>
        <w:tblLayout w:type="fixed"/>
        <w:tblLook w:val="04A0" w:firstRow="1" w:lastRow="0" w:firstColumn="1" w:lastColumn="0" w:noHBand="0" w:noVBand="1"/>
      </w:tblPr>
      <w:tblGrid>
        <w:gridCol w:w="1808"/>
        <w:gridCol w:w="3450"/>
        <w:gridCol w:w="1230"/>
        <w:gridCol w:w="1290"/>
        <w:gridCol w:w="1271"/>
      </w:tblGrid>
      <w:tr w:rsidR="00D56508" w:rsidRPr="00A214B0">
        <w:trPr>
          <w:cantSplit/>
          <w:trHeight w:val="317"/>
          <w:tblHead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项目</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客户单位</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内容</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账面值</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评估值</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其他流动资产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泰州农村商业银行永安洲支行天天利理财</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2,600,000.00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2,609,716.16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其他流动资产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增值税</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350,039.70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350,039.70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其他流动资产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所得税</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1,215,055.46</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1,215,055.46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4,165,095.16</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4,174,811.32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长期股权投资</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泰州市化工产品交易市场有限公司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146,401.75</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147,145.85</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递延所得税资产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坏账形成的暂时性差异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71,909.30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71,909.30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递延所得税资产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递延收益形成的暂时性差异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151,500.00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151,500.00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递延所得税资产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应付利息及利息税形成的暂时性差异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984,363.06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984,363.06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递延所得税资产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坏账形成的暂时性差异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825.00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825.00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递延所得税资产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应付利息</w:t>
            </w:r>
            <w:r w:rsidRPr="00A214B0">
              <w:rPr>
                <w:rFonts w:ascii="Times New Roman" w:eastAsia="宋体" w:hAnsi="Times New Roman" w:cs="Times New Roman"/>
                <w:color w:val="000000" w:themeColor="text1"/>
                <w:kern w:val="0"/>
                <w:sz w:val="18"/>
                <w:szCs w:val="18"/>
              </w:rPr>
              <w:t>+</w:t>
            </w:r>
            <w:r w:rsidRPr="00A214B0">
              <w:rPr>
                <w:rFonts w:ascii="Times New Roman" w:eastAsia="宋体" w:hAnsi="Times New Roman" w:cs="Times New Roman"/>
                <w:color w:val="000000" w:themeColor="text1"/>
                <w:kern w:val="0"/>
                <w:sz w:val="18"/>
                <w:szCs w:val="18"/>
              </w:rPr>
              <w:t>利息税形成的暂时性差异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151,233.40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151,233.40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1,359,830.76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lang w:bidi="ar"/>
              </w:rPr>
              <w:t xml:space="preserve"> 1,359,830.76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其他非流动资产</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预付土地款</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5,000,000.00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5,000,000.00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在建工程</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库区零星土建工程</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179,231.06</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179,231.06</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在建工程</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安全仪表系统工程</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64,150.94</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64,150.94</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在建工程</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蒸汽管网及电伴热技术改造</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1,084,768.78</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1,084,768.78</w:t>
            </w:r>
          </w:p>
        </w:tc>
      </w:tr>
      <w:tr w:rsidR="00445BC6" w:rsidRPr="00A214B0" w:rsidTr="00445BC6">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445BC6" w:rsidRPr="00A214B0" w:rsidRDefault="00445BC6">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445BC6" w:rsidRPr="00A214B0" w:rsidRDefault="00445BC6">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445BC6" w:rsidRPr="00A214B0" w:rsidRDefault="00445BC6">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1,328,150.78</w:t>
            </w:r>
          </w:p>
        </w:tc>
        <w:tc>
          <w:tcPr>
            <w:tcW w:w="1271" w:type="dxa"/>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1,328,150.78</w:t>
            </w:r>
          </w:p>
        </w:tc>
      </w:tr>
      <w:tr w:rsidR="00445BC6" w:rsidRPr="00A214B0" w:rsidTr="00445BC6">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445BC6" w:rsidRPr="00A214B0" w:rsidRDefault="00445BC6">
            <w:pPr>
              <w:widowControl/>
              <w:jc w:val="center"/>
              <w:rPr>
                <w:rFonts w:ascii="Times New Roman" w:eastAsia="宋体" w:hAnsi="Times New Roman" w:cs="Times New Roman"/>
                <w:b/>
                <w:bCs/>
                <w:color w:val="000000" w:themeColor="text1"/>
                <w:kern w:val="0"/>
                <w:sz w:val="18"/>
                <w:szCs w:val="18"/>
              </w:rPr>
            </w:pPr>
            <w:r w:rsidRPr="00A214B0">
              <w:rPr>
                <w:rFonts w:ascii="Times New Roman" w:eastAsia="宋体" w:hAnsi="Times New Roman" w:cs="Times New Roman"/>
                <w:b/>
                <w:bCs/>
                <w:color w:val="000000" w:themeColor="text1"/>
                <w:kern w:val="0"/>
                <w:sz w:val="18"/>
                <w:szCs w:val="18"/>
              </w:rPr>
              <w:t>非经营性资产合计</w:t>
            </w:r>
          </w:p>
        </w:tc>
        <w:tc>
          <w:tcPr>
            <w:tcW w:w="3450" w:type="dxa"/>
            <w:tcBorders>
              <w:top w:val="nil"/>
              <w:left w:val="nil"/>
              <w:bottom w:val="single" w:sz="4" w:space="0" w:color="auto"/>
              <w:right w:val="single" w:sz="4" w:space="0" w:color="auto"/>
            </w:tcBorders>
            <w:shd w:val="clear" w:color="auto" w:fill="auto"/>
            <w:noWrap/>
            <w:vAlign w:val="center"/>
          </w:tcPr>
          <w:p w:rsidR="00445BC6" w:rsidRPr="00A214B0" w:rsidRDefault="00445BC6">
            <w:pPr>
              <w:widowControl/>
              <w:jc w:val="center"/>
              <w:rPr>
                <w:rFonts w:ascii="Times New Roman" w:eastAsia="宋体" w:hAnsi="Times New Roman" w:cs="Times New Roman"/>
                <w:b/>
                <w:bCs/>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445BC6" w:rsidRPr="00A214B0" w:rsidRDefault="00445BC6">
            <w:pPr>
              <w:widowControl/>
              <w:jc w:val="center"/>
              <w:rPr>
                <w:rFonts w:ascii="Times New Roman" w:eastAsia="宋体" w:hAnsi="Times New Roman" w:cs="Times New Roman"/>
                <w:b/>
                <w:bCs/>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widowControl/>
              <w:jc w:val="center"/>
              <w:rPr>
                <w:rFonts w:ascii="Times New Roman" w:eastAsia="宋体" w:hAnsi="Times New Roman" w:cs="Times New Roman"/>
                <w:b/>
                <w:color w:val="000000" w:themeColor="text1"/>
                <w:kern w:val="0"/>
                <w:sz w:val="18"/>
                <w:szCs w:val="18"/>
              </w:rPr>
            </w:pPr>
            <w:r w:rsidRPr="00A214B0">
              <w:rPr>
                <w:rFonts w:ascii="Times New Roman" w:eastAsia="宋体" w:hAnsi="Times New Roman" w:cs="Times New Roman" w:hint="eastAsia"/>
                <w:b/>
                <w:color w:val="000000" w:themeColor="text1"/>
                <w:kern w:val="0"/>
                <w:sz w:val="18"/>
                <w:szCs w:val="18"/>
              </w:rPr>
              <w:t>11,999,478.45</w:t>
            </w:r>
          </w:p>
        </w:tc>
        <w:tc>
          <w:tcPr>
            <w:tcW w:w="1271" w:type="dxa"/>
            <w:tcBorders>
              <w:top w:val="nil"/>
              <w:left w:val="nil"/>
              <w:bottom w:val="single" w:sz="4" w:space="0" w:color="auto"/>
              <w:right w:val="single" w:sz="4" w:space="0" w:color="auto"/>
            </w:tcBorders>
            <w:shd w:val="clear" w:color="auto" w:fill="auto"/>
            <w:noWrap/>
            <w:vAlign w:val="center"/>
          </w:tcPr>
          <w:p w:rsidR="00445BC6" w:rsidRPr="00A214B0" w:rsidRDefault="00445BC6" w:rsidP="00445BC6">
            <w:pPr>
              <w:widowControl/>
              <w:jc w:val="center"/>
              <w:rPr>
                <w:rFonts w:ascii="Times New Roman" w:eastAsia="宋体" w:hAnsi="Times New Roman" w:cs="Times New Roman"/>
                <w:b/>
                <w:color w:val="000000" w:themeColor="text1"/>
                <w:kern w:val="0"/>
                <w:sz w:val="18"/>
                <w:szCs w:val="18"/>
              </w:rPr>
            </w:pPr>
            <w:r w:rsidRPr="00A214B0">
              <w:rPr>
                <w:rFonts w:ascii="Times New Roman" w:eastAsia="宋体" w:hAnsi="Times New Roman" w:cs="Times New Roman" w:hint="eastAsia"/>
                <w:b/>
                <w:color w:val="000000" w:themeColor="text1"/>
                <w:kern w:val="0"/>
                <w:sz w:val="18"/>
                <w:szCs w:val="18"/>
              </w:rPr>
              <w:t>12,009,938.71</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宋体" w:eastAsia="宋体" w:hAnsi="宋体" w:cs="宋体"/>
                <w:color w:val="000000" w:themeColor="text1"/>
                <w:kern w:val="0"/>
                <w:sz w:val="20"/>
                <w:szCs w:val="20"/>
                <w:lang w:bidi="ar"/>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香港钟山有限公司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借款利息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527,319.46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527,319.46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香港钟山有限公司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股利利息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2,668,945.61</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2,668,945.61</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Clever Clogs Techonlogy Limited</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股利利息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2,528,474.79</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2,528,474.79</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香港钟山有限公司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借款利息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1,189,867.92</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1,189,867.92</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江苏省海外企业集团有限公司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借款利息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1,684,252.56</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1,684,252.56</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招商银行股份有限公司泰州分行</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借款利息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5,250.00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5,250.00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江苏泰州农村商业银行股份有限公司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借款利息</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78,750.00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78,750.00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8,682,860.34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8,682,860.34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香港钟山有限公司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股利</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15,841,001.88</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15,841,001.88</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textAlignment w:val="center"/>
              <w:rPr>
                <w:rFonts w:ascii="Times New Roman" w:eastAsia="宋体" w:hAnsi="Times New Roman" w:cs="Times New Roman"/>
                <w:color w:val="000000" w:themeColor="text1"/>
                <w:kern w:val="0"/>
                <w:sz w:val="18"/>
                <w:szCs w:val="18"/>
              </w:rPr>
            </w:pPr>
            <w:r w:rsidRPr="00A214B0">
              <w:rPr>
                <w:rFonts w:ascii="宋体" w:eastAsia="宋体" w:hAnsi="宋体" w:cs="宋体" w:hint="eastAsia"/>
                <w:color w:val="000000" w:themeColor="text1"/>
                <w:kern w:val="0"/>
                <w:sz w:val="20"/>
                <w:szCs w:val="20"/>
                <w:lang w:bidi="ar"/>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Clever Clogs Techonlogy Limited</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股利</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15,007,264.95</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15,007,264.95</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30,848,266.83</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30,848,266.83</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江苏省海外企业集团有限公司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往来</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90,000.00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90,000.00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新北区河海绿通环保设备商行</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1,382.50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1,382.50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南京市鼓楼区保利体育场地工程中心</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1,550.00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1,550.00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泰州市高港区信源电脑有限公司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960.00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960.00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宿迁市亿盛商贸有限公司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805.91</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805.91</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新黎明防爆电器有限公司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1,530.00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1,530.00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山东华宁电伴热科技有限公司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90,978.00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90,978.00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应付款项</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10,808.70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10,808.70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扬州市东风苗圃绿化工程公司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38,400.00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38,400.00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淮安市锦辉机械设备有限公司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799.70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799.70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靖江市永耐泵业有限公司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3,367.50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3,367.50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北京华泰天仪科技发展有限公司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5,626.00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5,626.00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梅淑兰</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2,727.90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2,727.90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泰州市建平建筑安装工程有限公司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2,200.00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2,200.00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扬州迪森建筑设计有限公司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24,830.19</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24,830.19</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江苏友安消防工程有限公司泰州分公司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2,130.00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2,130.00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上海希辰机电设备有限公司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971.00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971.00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高港区北圣农具修理部</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无锡市永安电子科技有限公司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7,169.00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7,169.00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常熟市中凯仪表有限公司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苏州市佳和无纺制品有限公司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810.00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810.00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江苏连通安装工程有限公司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15,067.75</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15,067.75</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江苏金陵特种涂料有限公司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河南省特种防腐有限公司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68,218.55</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68,218.55</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南京申瑞化工涂装工程有限公司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46,210.39</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46,210.39</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苏州飞瑞电源有限公司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2,650.00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2,650.00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泰州如瑞商贸有限公司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1,715.00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1,715.00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泰州丰捷商贸有限公司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2,190.00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2,190.00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泰州市康建智能科技有限公司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1,912.00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1,912.00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江苏华力建设有限公司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4,400.00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4,400.00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江苏新都建筑有限公司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127,966.02</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127,966.02</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泰兴市机电设备安装有限公司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752.00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752.00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泰州泰怡空调机电设备制造厂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2,830.00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2,830.00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泰州市光宇阀业有限公司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3,151.50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3,151.50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上海矽和动力设备有限公司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18,500.00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18,500.00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烟台曲士达管业有限公司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38,254.00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38,254.00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江苏中美华超环保科技有限公司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31,500.00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31,500.00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安徽润泰仪器仪表有限公司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1,750.00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1,750.00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中化二建集团有限公司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140,498.11</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140,498.11</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江苏昊昇机械设备有限公司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2,507.50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2,507.50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山东普茵沃润环保科技有限公司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12,540.00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12,540.00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江苏威达建设有限公司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448,524.27</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448,524.27</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南京都乐制冷设备有限公司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1,679,734.51</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1,679,734.51</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泰州市亚方波纹管厂</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14,936.50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14,936.50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上海翼捷工业安全设备股份有限公司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3,955.00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3,955.00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南通市三联石化设备制造有限公司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155,824.00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155,824.00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无锡天欧石化设备制造有限公司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101,440.00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101,440.00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江苏亿阀股份有限公司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45,860.00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45,860.00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姜堰区智惠机电设备经营部</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7,760.00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7,760.00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泰州市万通物资有限公司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5,923.24</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5,923.24</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经纬会计师事务所</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预提审计费</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10,000.00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10,000.00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其他应付款</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江苏艺博防水防腐工程有限公司</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应付工程款</w:t>
            </w: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160,194.17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160,194.17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3,450,310.91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 3,450,310.91 </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递延收益</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省级重点研发专项资金</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1,000,000.00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1,000,000.00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递延收益</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企业知识产权战略推进计划</w:t>
            </w: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1,010,000.00</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1,010,000.00</w:t>
            </w:r>
          </w:p>
        </w:tc>
      </w:tr>
      <w:tr w:rsidR="00D56508" w:rsidRPr="00A214B0">
        <w:trPr>
          <w:trHeight w:val="315"/>
        </w:trPr>
        <w:tc>
          <w:tcPr>
            <w:tcW w:w="1808" w:type="dxa"/>
            <w:tcBorders>
              <w:top w:val="nil"/>
              <w:left w:val="single" w:sz="4" w:space="0" w:color="auto"/>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color w:val="000000" w:themeColor="text1"/>
                <w:kern w:val="0"/>
                <w:sz w:val="18"/>
                <w:szCs w:val="18"/>
              </w:rPr>
              <w:t>非经营性负债合计</w:t>
            </w:r>
          </w:p>
        </w:tc>
        <w:tc>
          <w:tcPr>
            <w:tcW w:w="345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D56508" w:rsidRPr="00A214B0" w:rsidRDefault="00D56508">
            <w:pPr>
              <w:widowControl/>
              <w:jc w:val="center"/>
              <w:rPr>
                <w:rFonts w:ascii="Times New Roman" w:eastAsia="宋体" w:hAnsi="Times New Roman" w:cs="Times New Roman"/>
                <w:color w:val="000000" w:themeColor="text1"/>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43,991,438.08 </w:t>
            </w:r>
          </w:p>
        </w:tc>
        <w:tc>
          <w:tcPr>
            <w:tcW w:w="1271" w:type="dxa"/>
            <w:tcBorders>
              <w:top w:val="nil"/>
              <w:left w:val="nil"/>
              <w:bottom w:val="single" w:sz="4" w:space="0" w:color="auto"/>
              <w:right w:val="single" w:sz="4" w:space="0" w:color="auto"/>
            </w:tcBorders>
            <w:shd w:val="clear" w:color="auto" w:fill="auto"/>
            <w:noWrap/>
            <w:vAlign w:val="center"/>
          </w:tcPr>
          <w:p w:rsidR="00D56508" w:rsidRPr="00A214B0" w:rsidRDefault="00F1265B">
            <w:pPr>
              <w:widowControl/>
              <w:jc w:val="center"/>
              <w:rPr>
                <w:rFonts w:ascii="Times New Roman" w:eastAsia="宋体" w:hAnsi="Times New Roman" w:cs="Times New Roman"/>
                <w:color w:val="000000" w:themeColor="text1"/>
                <w:kern w:val="0"/>
                <w:sz w:val="18"/>
                <w:szCs w:val="18"/>
              </w:rPr>
            </w:pPr>
            <w:r w:rsidRPr="00A214B0">
              <w:rPr>
                <w:rFonts w:ascii="Times New Roman" w:eastAsia="宋体" w:hAnsi="Times New Roman" w:cs="Times New Roman" w:hint="eastAsia"/>
                <w:color w:val="000000" w:themeColor="text1"/>
                <w:kern w:val="0"/>
                <w:sz w:val="18"/>
                <w:szCs w:val="18"/>
              </w:rPr>
              <w:t xml:space="preserve">43,991,438.08 </w:t>
            </w:r>
          </w:p>
        </w:tc>
      </w:tr>
    </w:tbl>
    <w:p w:rsidR="00D56508" w:rsidRPr="00A214B0" w:rsidRDefault="00D56508">
      <w:pPr>
        <w:pStyle w:val="aa"/>
        <w:adjustRightInd w:val="0"/>
        <w:snapToGrid w:val="0"/>
        <w:spacing w:line="360" w:lineRule="auto"/>
        <w:ind w:firstLineChars="200" w:firstLine="480"/>
        <w:rPr>
          <w:color w:val="000000" w:themeColor="text1"/>
          <w:sz w:val="24"/>
          <w:szCs w:val="22"/>
        </w:rPr>
      </w:pP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（四）企业整体价值的确定</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1.</w:t>
      </w:r>
      <w:r w:rsidRPr="00A214B0">
        <w:rPr>
          <w:color w:val="000000" w:themeColor="text1"/>
          <w:sz w:val="24"/>
          <w:szCs w:val="22"/>
        </w:rPr>
        <w:t>企业股权价值的计算</w:t>
      </w:r>
    </w:p>
    <w:p w:rsidR="00D56508" w:rsidRPr="00A214B0" w:rsidRDefault="00F1265B">
      <w:pPr>
        <w:pStyle w:val="aa"/>
        <w:adjustRightInd w:val="0"/>
        <w:snapToGrid w:val="0"/>
        <w:spacing w:line="360" w:lineRule="auto"/>
        <w:ind w:firstLineChars="200" w:firstLine="480"/>
        <w:rPr>
          <w:color w:val="000000" w:themeColor="text1"/>
          <w:sz w:val="24"/>
          <w:szCs w:val="22"/>
        </w:rPr>
      </w:pPr>
      <w:r w:rsidRPr="00A214B0">
        <w:rPr>
          <w:color w:val="000000" w:themeColor="text1"/>
          <w:sz w:val="24"/>
          <w:szCs w:val="22"/>
        </w:rPr>
        <w:t>股权价值</w:t>
      </w:r>
      <w:r w:rsidRPr="00A214B0">
        <w:rPr>
          <w:color w:val="000000" w:themeColor="text1"/>
          <w:sz w:val="24"/>
          <w:szCs w:val="22"/>
        </w:rPr>
        <w:t>=</w:t>
      </w:r>
      <w:r w:rsidRPr="00A214B0">
        <w:rPr>
          <w:color w:val="000000" w:themeColor="text1"/>
          <w:sz w:val="24"/>
          <w:szCs w:val="22"/>
        </w:rPr>
        <w:t>经营性资产价值</w:t>
      </w:r>
      <w:r w:rsidRPr="00A214B0">
        <w:rPr>
          <w:color w:val="000000" w:themeColor="text1"/>
          <w:sz w:val="24"/>
          <w:szCs w:val="22"/>
        </w:rPr>
        <w:t>+</w:t>
      </w:r>
      <w:r w:rsidRPr="00A214B0">
        <w:rPr>
          <w:color w:val="000000" w:themeColor="text1"/>
          <w:sz w:val="24"/>
          <w:szCs w:val="22"/>
        </w:rPr>
        <w:t>溢余资产价值</w:t>
      </w:r>
      <w:r w:rsidRPr="00A214B0">
        <w:rPr>
          <w:color w:val="000000" w:themeColor="text1"/>
          <w:sz w:val="24"/>
          <w:szCs w:val="22"/>
        </w:rPr>
        <w:t>+</w:t>
      </w:r>
      <w:r w:rsidRPr="00A214B0">
        <w:rPr>
          <w:color w:val="000000" w:themeColor="text1"/>
          <w:sz w:val="24"/>
          <w:szCs w:val="22"/>
        </w:rPr>
        <w:t>非经营性资产价值</w:t>
      </w:r>
      <w:r w:rsidRPr="00A214B0">
        <w:rPr>
          <w:color w:val="000000" w:themeColor="text1"/>
          <w:sz w:val="24"/>
          <w:szCs w:val="22"/>
        </w:rPr>
        <w:t>-</w:t>
      </w:r>
      <w:r w:rsidRPr="00A214B0">
        <w:rPr>
          <w:color w:val="000000" w:themeColor="text1"/>
          <w:sz w:val="24"/>
          <w:szCs w:val="22"/>
        </w:rPr>
        <w:t>非经营性负债价值</w:t>
      </w:r>
      <w:r w:rsidRPr="00A214B0">
        <w:rPr>
          <w:color w:val="000000" w:themeColor="text1"/>
          <w:sz w:val="24"/>
          <w:szCs w:val="22"/>
        </w:rPr>
        <w:t>-</w:t>
      </w:r>
      <w:r w:rsidRPr="00A214B0">
        <w:rPr>
          <w:color w:val="000000" w:themeColor="text1"/>
          <w:sz w:val="24"/>
          <w:szCs w:val="22"/>
        </w:rPr>
        <w:t>带息债务</w:t>
      </w:r>
    </w:p>
    <w:bookmarkEnd w:id="102"/>
    <w:p w:rsidR="00D56508" w:rsidRPr="00A214B0" w:rsidRDefault="00F1265B">
      <w:pPr>
        <w:pStyle w:val="aa"/>
        <w:adjustRightInd w:val="0"/>
        <w:snapToGrid w:val="0"/>
        <w:spacing w:line="360" w:lineRule="auto"/>
        <w:ind w:firstLineChars="600" w:firstLine="1440"/>
        <w:jc w:val="both"/>
        <w:rPr>
          <w:color w:val="000000" w:themeColor="text1"/>
          <w:sz w:val="24"/>
          <w:szCs w:val="22"/>
        </w:rPr>
      </w:pPr>
      <w:r w:rsidRPr="00A214B0">
        <w:rPr>
          <w:color w:val="000000" w:themeColor="text1"/>
          <w:sz w:val="24"/>
          <w:szCs w:val="22"/>
        </w:rPr>
        <w:t>=</w:t>
      </w:r>
      <w:r w:rsidR="00445BC6" w:rsidRPr="00A214B0">
        <w:rPr>
          <w:color w:val="000000" w:themeColor="text1"/>
          <w:sz w:val="24"/>
          <w:szCs w:val="22"/>
        </w:rPr>
        <w:t xml:space="preserve">46,089.17 </w:t>
      </w:r>
      <w:r w:rsidRPr="00A214B0">
        <w:rPr>
          <w:color w:val="000000" w:themeColor="text1"/>
          <w:sz w:val="24"/>
          <w:szCs w:val="22"/>
        </w:rPr>
        <w:t>+</w:t>
      </w:r>
      <w:r w:rsidR="00640DF2" w:rsidRPr="00A214B0">
        <w:rPr>
          <w:color w:val="000000" w:themeColor="text1"/>
          <w:sz w:val="24"/>
          <w:szCs w:val="22"/>
        </w:rPr>
        <w:t xml:space="preserve">1,630.72 </w:t>
      </w:r>
      <w:r w:rsidRPr="00A214B0">
        <w:rPr>
          <w:color w:val="000000" w:themeColor="text1"/>
          <w:sz w:val="24"/>
          <w:szCs w:val="22"/>
        </w:rPr>
        <w:t>+</w:t>
      </w:r>
      <w:r w:rsidR="00445BC6" w:rsidRPr="00A214B0">
        <w:rPr>
          <w:color w:val="000000" w:themeColor="text1"/>
          <w:sz w:val="24"/>
          <w:szCs w:val="22"/>
        </w:rPr>
        <w:t xml:space="preserve">1,200.99 </w:t>
      </w:r>
      <w:r w:rsidRPr="00A214B0">
        <w:rPr>
          <w:color w:val="000000" w:themeColor="text1"/>
          <w:sz w:val="24"/>
          <w:szCs w:val="22"/>
        </w:rPr>
        <w:t>-</w:t>
      </w:r>
      <w:r w:rsidRPr="00A214B0">
        <w:rPr>
          <w:rFonts w:hint="eastAsia"/>
          <w:color w:val="000000" w:themeColor="text1"/>
          <w:sz w:val="24"/>
          <w:szCs w:val="22"/>
        </w:rPr>
        <w:t xml:space="preserve">4,399.14 </w:t>
      </w:r>
      <w:r w:rsidRPr="00A214B0">
        <w:rPr>
          <w:color w:val="000000" w:themeColor="text1"/>
          <w:sz w:val="24"/>
          <w:szCs w:val="22"/>
        </w:rPr>
        <w:t>-13,477.04</w:t>
      </w:r>
    </w:p>
    <w:p w:rsidR="00D56508" w:rsidRPr="00A214B0" w:rsidRDefault="00F1265B">
      <w:pPr>
        <w:pStyle w:val="aa"/>
        <w:adjustRightInd w:val="0"/>
        <w:snapToGrid w:val="0"/>
        <w:spacing w:line="360" w:lineRule="auto"/>
        <w:ind w:firstLineChars="600" w:firstLine="1440"/>
        <w:rPr>
          <w:color w:val="000000" w:themeColor="text1"/>
        </w:rPr>
      </w:pPr>
      <w:r w:rsidRPr="00A214B0">
        <w:rPr>
          <w:color w:val="000000" w:themeColor="text1"/>
          <w:sz w:val="24"/>
          <w:szCs w:val="22"/>
        </w:rPr>
        <w:t>=</w:t>
      </w:r>
      <w:r w:rsidR="00445BC6" w:rsidRPr="00A214B0">
        <w:rPr>
          <w:rFonts w:hint="eastAsia"/>
          <w:color w:val="000000" w:themeColor="text1"/>
          <w:sz w:val="24"/>
          <w:szCs w:val="22"/>
        </w:rPr>
        <w:t>31,0</w:t>
      </w:r>
      <w:r w:rsidRPr="00A214B0">
        <w:rPr>
          <w:rFonts w:hint="eastAsia"/>
          <w:color w:val="000000" w:themeColor="text1"/>
          <w:sz w:val="24"/>
          <w:szCs w:val="22"/>
        </w:rPr>
        <w:t xml:space="preserve">00.00 </w:t>
      </w:r>
      <w:r w:rsidRPr="00A214B0">
        <w:rPr>
          <w:color w:val="000000" w:themeColor="text1"/>
          <w:sz w:val="24"/>
          <w:szCs w:val="22"/>
        </w:rPr>
        <w:t>万元（取整到百万元位）</w:t>
      </w:r>
    </w:p>
    <w:p w:rsidR="00D56508" w:rsidRPr="00A214B0" w:rsidRDefault="00F1265B">
      <w:pPr>
        <w:ind w:firstLineChars="100" w:firstLine="360"/>
        <w:rPr>
          <w:rFonts w:ascii="Times New Roman" w:eastAsia="黑体" w:hAnsi="Times New Roman" w:cs="Times New Roman"/>
          <w:color w:val="000000" w:themeColor="text1"/>
          <w:kern w:val="44"/>
          <w:sz w:val="36"/>
        </w:rPr>
      </w:pPr>
      <w:r w:rsidRPr="00A214B0">
        <w:rPr>
          <w:rFonts w:ascii="Times New Roman" w:hAnsi="Times New Roman" w:cs="Times New Roman"/>
          <w:color w:val="000000" w:themeColor="text1"/>
          <w:sz w:val="36"/>
        </w:rPr>
        <w:br w:type="page"/>
      </w:r>
    </w:p>
    <w:p w:rsidR="00D56508" w:rsidRPr="00A214B0" w:rsidRDefault="00F1265B">
      <w:pPr>
        <w:pStyle w:val="1"/>
        <w:adjustRightInd/>
        <w:spacing w:before="100" w:beforeAutospacing="1" w:after="100" w:afterAutospacing="1" w:line="360" w:lineRule="auto"/>
        <w:contextualSpacing/>
        <w:jc w:val="center"/>
        <w:rPr>
          <w:color w:val="000000" w:themeColor="text1"/>
          <w:sz w:val="36"/>
        </w:rPr>
      </w:pPr>
      <w:bookmarkStart w:id="116" w:name="_Toc503865055"/>
      <w:bookmarkStart w:id="117" w:name="_Toc7071"/>
      <w:r w:rsidRPr="00A214B0">
        <w:rPr>
          <w:color w:val="000000" w:themeColor="text1"/>
          <w:sz w:val="36"/>
        </w:rPr>
        <w:t>第六部分</w:t>
      </w:r>
      <w:r w:rsidRPr="00A214B0">
        <w:rPr>
          <w:color w:val="000000" w:themeColor="text1"/>
          <w:sz w:val="36"/>
        </w:rPr>
        <w:t xml:space="preserve"> </w:t>
      </w:r>
      <w:r w:rsidRPr="00A214B0">
        <w:rPr>
          <w:color w:val="000000" w:themeColor="text1"/>
          <w:sz w:val="36"/>
        </w:rPr>
        <w:t>评估结论及其分析</w:t>
      </w:r>
      <w:bookmarkEnd w:id="116"/>
      <w:bookmarkEnd w:id="117"/>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bookmarkStart w:id="118" w:name="_Toc531574703"/>
      <w:bookmarkEnd w:id="97"/>
      <w:r w:rsidRPr="00A214B0">
        <w:rPr>
          <w:rFonts w:ascii="Times New Roman" w:hAnsi="Times New Roman" w:cs="Times New Roman"/>
          <w:color w:val="000000" w:themeColor="text1"/>
          <w:sz w:val="24"/>
        </w:rPr>
        <w:t>根据国家有关资产评估的规定，本着独立、公正和客观的原则及必要的评估程序，对江苏海企化工仓储股份有限公司的</w:t>
      </w:r>
      <w:r w:rsidRPr="00A214B0">
        <w:rPr>
          <w:rFonts w:ascii="Times New Roman" w:hAnsi="Times New Roman" w:cs="Times New Roman"/>
          <w:color w:val="000000" w:themeColor="text1"/>
          <w:sz w:val="24"/>
        </w:rPr>
        <w:t>3.0425%</w:t>
      </w:r>
      <w:r w:rsidRPr="00A214B0">
        <w:rPr>
          <w:rFonts w:ascii="Times New Roman" w:hAnsi="Times New Roman" w:cs="Times New Roman"/>
          <w:color w:val="000000" w:themeColor="text1"/>
          <w:sz w:val="24"/>
        </w:rPr>
        <w:t>股权价值进行了评估。本次评估采用了资产基础法和收益法，评估结论根据以上评估工作得出。</w:t>
      </w:r>
    </w:p>
    <w:p w:rsidR="00D56508" w:rsidRPr="00A214B0" w:rsidRDefault="00F1265B">
      <w:pPr>
        <w:autoSpaceDE w:val="0"/>
        <w:autoSpaceDN w:val="0"/>
        <w:ind w:firstLineChars="200" w:firstLine="560"/>
        <w:jc w:val="left"/>
        <w:outlineLvl w:val="1"/>
        <w:rPr>
          <w:rFonts w:ascii="Times New Roman" w:eastAsia="黑体" w:hAnsi="Times New Roman" w:cs="Times New Roman"/>
          <w:color w:val="000000" w:themeColor="text1"/>
          <w:sz w:val="28"/>
          <w:szCs w:val="28"/>
        </w:rPr>
      </w:pPr>
      <w:bookmarkStart w:id="119" w:name="_Toc12484"/>
      <w:bookmarkStart w:id="120" w:name="_Toc503865056"/>
      <w:r w:rsidRPr="00A214B0">
        <w:rPr>
          <w:rFonts w:ascii="Times New Roman" w:eastAsia="黑体" w:hAnsi="Times New Roman" w:cs="Times New Roman"/>
          <w:color w:val="000000" w:themeColor="text1"/>
          <w:sz w:val="28"/>
          <w:szCs w:val="28"/>
        </w:rPr>
        <w:t>一、评估结论</w:t>
      </w:r>
      <w:bookmarkEnd w:id="118"/>
      <w:bookmarkEnd w:id="119"/>
      <w:bookmarkEnd w:id="120"/>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bookmarkStart w:id="121" w:name="_Toc403664415"/>
      <w:r w:rsidRPr="00A214B0">
        <w:rPr>
          <w:rFonts w:ascii="Times New Roman" w:hAnsi="Times New Roman" w:cs="Times New Roman"/>
          <w:color w:val="000000" w:themeColor="text1"/>
          <w:sz w:val="24"/>
        </w:rPr>
        <w:t>（一）资产基础法评估结果</w:t>
      </w:r>
    </w:p>
    <w:p w:rsidR="00D56508" w:rsidRPr="00A214B0" w:rsidRDefault="0031015B" w:rsidP="0031015B">
      <w:pPr>
        <w:snapToGrid w:val="0"/>
        <w:spacing w:line="360" w:lineRule="auto"/>
        <w:ind w:firstLineChars="200" w:firstLine="480"/>
        <w:rPr>
          <w:rFonts w:ascii="Times New Roman" w:hAnsi="Times New Roman" w:cs="Times New Roman"/>
          <w:color w:val="000000" w:themeColor="text1"/>
          <w:sz w:val="24"/>
        </w:rPr>
      </w:pPr>
      <w:bookmarkStart w:id="122" w:name="_Hlk508099211"/>
      <w:bookmarkStart w:id="123" w:name="_Toc476164653"/>
      <w:bookmarkEnd w:id="121"/>
      <w:r w:rsidRPr="00A214B0">
        <w:rPr>
          <w:rFonts w:ascii="Times New Roman" w:hAnsi="Times New Roman" w:cs="Times New Roman" w:hint="eastAsia"/>
          <w:color w:val="000000" w:themeColor="text1"/>
          <w:sz w:val="24"/>
        </w:rPr>
        <w:t>在持续经营前提下，截止评估基准日，被评估单位江苏海企化工仓储股份有限公司总资产账面价值为</w:t>
      </w:r>
      <w:r w:rsidRPr="00A214B0">
        <w:rPr>
          <w:rFonts w:ascii="Times New Roman" w:hAnsi="Times New Roman" w:cs="Times New Roman" w:hint="eastAsia"/>
          <w:color w:val="000000" w:themeColor="text1"/>
          <w:sz w:val="24"/>
        </w:rPr>
        <w:t>43,474.73</w:t>
      </w:r>
      <w:r w:rsidRPr="00A214B0">
        <w:rPr>
          <w:rFonts w:ascii="Times New Roman" w:hAnsi="Times New Roman" w:cs="Times New Roman" w:hint="eastAsia"/>
          <w:color w:val="000000" w:themeColor="text1"/>
          <w:sz w:val="24"/>
        </w:rPr>
        <w:t>万元，评估价值为</w:t>
      </w:r>
      <w:r w:rsidRPr="00A214B0">
        <w:rPr>
          <w:rFonts w:ascii="Times New Roman" w:hAnsi="Times New Roman" w:cs="Times New Roman" w:hint="eastAsia"/>
          <w:color w:val="000000" w:themeColor="text1"/>
          <w:sz w:val="24"/>
        </w:rPr>
        <w:t xml:space="preserve">47,389.56 </w:t>
      </w:r>
      <w:r w:rsidRPr="00A214B0">
        <w:rPr>
          <w:rFonts w:ascii="Times New Roman" w:hAnsi="Times New Roman" w:cs="Times New Roman" w:hint="eastAsia"/>
          <w:color w:val="000000" w:themeColor="text1"/>
          <w:sz w:val="24"/>
        </w:rPr>
        <w:t>万元，增值额为</w:t>
      </w:r>
      <w:r w:rsidRPr="00A214B0">
        <w:rPr>
          <w:rFonts w:ascii="Times New Roman" w:hAnsi="Times New Roman" w:cs="Times New Roman" w:hint="eastAsia"/>
          <w:color w:val="000000" w:themeColor="text1"/>
          <w:sz w:val="24"/>
        </w:rPr>
        <w:t>3,915.23</w:t>
      </w:r>
      <w:r w:rsidRPr="00A214B0">
        <w:rPr>
          <w:rFonts w:ascii="Times New Roman" w:hAnsi="Times New Roman" w:cs="Times New Roman" w:hint="eastAsia"/>
          <w:color w:val="000000" w:themeColor="text1"/>
          <w:sz w:val="24"/>
        </w:rPr>
        <w:t>万元，增值率</w:t>
      </w:r>
      <w:r w:rsidRPr="00A214B0">
        <w:rPr>
          <w:rFonts w:ascii="Times New Roman" w:hAnsi="Times New Roman" w:cs="Times New Roman" w:hint="eastAsia"/>
          <w:color w:val="000000" w:themeColor="text1"/>
          <w:sz w:val="24"/>
        </w:rPr>
        <w:t>9.01 %</w:t>
      </w:r>
      <w:r w:rsidRPr="00A214B0">
        <w:rPr>
          <w:rFonts w:ascii="Times New Roman" w:hAnsi="Times New Roman" w:cs="Times New Roman" w:hint="eastAsia"/>
          <w:color w:val="000000" w:themeColor="text1"/>
          <w:sz w:val="24"/>
        </w:rPr>
        <w:t>；总负债账面价值</w:t>
      </w:r>
      <w:r w:rsidRPr="00A214B0">
        <w:rPr>
          <w:rFonts w:ascii="Times New Roman" w:hAnsi="Times New Roman" w:cs="Times New Roman" w:hint="eastAsia"/>
          <w:color w:val="000000" w:themeColor="text1"/>
          <w:sz w:val="24"/>
        </w:rPr>
        <w:t>18,207.72</w:t>
      </w:r>
      <w:r w:rsidRPr="00A214B0">
        <w:rPr>
          <w:rFonts w:ascii="Times New Roman" w:hAnsi="Times New Roman" w:cs="Times New Roman" w:hint="eastAsia"/>
          <w:color w:val="000000" w:themeColor="text1"/>
          <w:sz w:val="24"/>
        </w:rPr>
        <w:t>万元，评估价值为</w:t>
      </w:r>
      <w:r w:rsidRPr="00A214B0">
        <w:rPr>
          <w:rFonts w:ascii="Times New Roman" w:hAnsi="Times New Roman" w:cs="Times New Roman" w:hint="eastAsia"/>
          <w:color w:val="000000" w:themeColor="text1"/>
          <w:sz w:val="24"/>
        </w:rPr>
        <w:t>18,207.72</w:t>
      </w:r>
      <w:r w:rsidRPr="00A214B0">
        <w:rPr>
          <w:rFonts w:ascii="Times New Roman" w:hAnsi="Times New Roman" w:cs="Times New Roman" w:hint="eastAsia"/>
          <w:color w:val="000000" w:themeColor="text1"/>
          <w:sz w:val="24"/>
        </w:rPr>
        <w:t>万元；净资产账面价值为</w:t>
      </w:r>
      <w:r w:rsidRPr="00A214B0">
        <w:rPr>
          <w:rFonts w:ascii="Times New Roman" w:hAnsi="Times New Roman" w:cs="Times New Roman" w:hint="eastAsia"/>
          <w:color w:val="000000" w:themeColor="text1"/>
          <w:sz w:val="24"/>
        </w:rPr>
        <w:t>25,267.00</w:t>
      </w:r>
      <w:r w:rsidRPr="00A214B0">
        <w:rPr>
          <w:rFonts w:ascii="Times New Roman" w:hAnsi="Times New Roman" w:cs="Times New Roman" w:hint="eastAsia"/>
          <w:color w:val="000000" w:themeColor="text1"/>
          <w:sz w:val="24"/>
        </w:rPr>
        <w:t>万元，净资产评估价值为</w:t>
      </w:r>
      <w:r w:rsidRPr="00A214B0">
        <w:rPr>
          <w:rFonts w:ascii="Times New Roman" w:hAnsi="Times New Roman" w:cs="Times New Roman" w:hint="eastAsia"/>
          <w:color w:val="000000" w:themeColor="text1"/>
          <w:sz w:val="24"/>
        </w:rPr>
        <w:t>29,182.24</w:t>
      </w:r>
      <w:r w:rsidRPr="00A214B0">
        <w:rPr>
          <w:rFonts w:ascii="Times New Roman" w:hAnsi="Times New Roman" w:cs="Times New Roman" w:hint="eastAsia"/>
          <w:color w:val="000000" w:themeColor="text1"/>
          <w:sz w:val="24"/>
        </w:rPr>
        <w:t>万元，增值额为</w:t>
      </w:r>
      <w:r w:rsidRPr="00A214B0">
        <w:rPr>
          <w:rFonts w:ascii="Times New Roman" w:hAnsi="Times New Roman" w:cs="Times New Roman" w:hint="eastAsia"/>
          <w:color w:val="000000" w:themeColor="text1"/>
          <w:sz w:val="24"/>
        </w:rPr>
        <w:t>3,915.23</w:t>
      </w:r>
      <w:r w:rsidRPr="00A214B0">
        <w:rPr>
          <w:rFonts w:ascii="Times New Roman" w:hAnsi="Times New Roman" w:cs="Times New Roman" w:hint="eastAsia"/>
          <w:color w:val="000000" w:themeColor="text1"/>
          <w:sz w:val="24"/>
        </w:rPr>
        <w:t>万元，增值率为</w:t>
      </w:r>
      <w:r w:rsidRPr="00A214B0">
        <w:rPr>
          <w:rFonts w:ascii="Times New Roman" w:hAnsi="Times New Roman" w:cs="Times New Roman" w:hint="eastAsia"/>
          <w:color w:val="000000" w:themeColor="text1"/>
          <w:sz w:val="24"/>
        </w:rPr>
        <w:t>15.50 %</w:t>
      </w:r>
      <w:r w:rsidRPr="00A214B0">
        <w:rPr>
          <w:rFonts w:ascii="Times New Roman" w:hAnsi="Times New Roman" w:cs="Times New Roman" w:hint="eastAsia"/>
          <w:color w:val="000000" w:themeColor="text1"/>
          <w:sz w:val="24"/>
        </w:rPr>
        <w:t>。</w:t>
      </w:r>
      <w:r w:rsidR="00F1265B" w:rsidRPr="00A214B0">
        <w:rPr>
          <w:rFonts w:ascii="Times New Roman" w:hAnsi="Times New Roman" w:cs="Times New Roman"/>
          <w:color w:val="000000" w:themeColor="text1"/>
          <w:sz w:val="24"/>
          <w:szCs w:val="24"/>
        </w:rPr>
        <w:t>评估结果详见下列评估结果汇总表：</w:t>
      </w:r>
    </w:p>
    <w:p w:rsidR="00D56508" w:rsidRPr="00A214B0" w:rsidRDefault="00F1265B">
      <w:pPr>
        <w:adjustRightInd w:val="0"/>
        <w:snapToGrid w:val="0"/>
        <w:spacing w:line="360" w:lineRule="auto"/>
        <w:jc w:val="center"/>
        <w:rPr>
          <w:rFonts w:ascii="Times New Roman" w:hAnsi="Times New Roman" w:cs="Times New Roman"/>
          <w:b/>
          <w:color w:val="000000" w:themeColor="text1"/>
          <w:szCs w:val="21"/>
        </w:rPr>
      </w:pPr>
      <w:r w:rsidRPr="00A214B0">
        <w:rPr>
          <w:rFonts w:ascii="Times New Roman" w:hAnsi="Times New Roman" w:cs="Times New Roman"/>
          <w:b/>
          <w:color w:val="000000" w:themeColor="text1"/>
          <w:szCs w:val="21"/>
        </w:rPr>
        <w:t>资产评估结果汇总表</w:t>
      </w:r>
    </w:p>
    <w:p w:rsidR="00D56508" w:rsidRPr="00A214B0" w:rsidRDefault="00F1265B">
      <w:pPr>
        <w:adjustRightInd w:val="0"/>
        <w:snapToGrid w:val="0"/>
        <w:rPr>
          <w:rFonts w:ascii="Times New Roman" w:hAnsi="Times New Roman" w:cs="Times New Roman"/>
          <w:color w:val="000000" w:themeColor="text1"/>
          <w:sz w:val="18"/>
          <w:szCs w:val="18"/>
        </w:rPr>
      </w:pPr>
      <w:r w:rsidRPr="00A214B0">
        <w:rPr>
          <w:rFonts w:ascii="Times New Roman" w:eastAsia="宋体" w:hAnsi="Times New Roman" w:cs="Times New Roman"/>
          <w:color w:val="000000" w:themeColor="text1"/>
          <w:sz w:val="18"/>
          <w:szCs w:val="18"/>
        </w:rPr>
        <w:t>评估基准日：</w:t>
      </w:r>
      <w:r w:rsidRPr="00A214B0">
        <w:rPr>
          <w:rFonts w:ascii="Times New Roman" w:eastAsia="宋体" w:hAnsi="Times New Roman" w:cs="Times New Roman"/>
          <w:color w:val="000000" w:themeColor="text1"/>
          <w:sz w:val="18"/>
          <w:szCs w:val="18"/>
        </w:rPr>
        <w:t>2019</w:t>
      </w:r>
      <w:r w:rsidRPr="00A214B0">
        <w:rPr>
          <w:rFonts w:ascii="Times New Roman" w:eastAsia="宋体" w:hAnsi="Times New Roman" w:cs="Times New Roman"/>
          <w:color w:val="000000" w:themeColor="text1"/>
          <w:sz w:val="18"/>
          <w:szCs w:val="18"/>
        </w:rPr>
        <w:t>年</w:t>
      </w:r>
      <w:r w:rsidRPr="00A214B0">
        <w:rPr>
          <w:rFonts w:ascii="Times New Roman" w:eastAsia="宋体" w:hAnsi="Times New Roman" w:cs="Times New Roman"/>
          <w:color w:val="000000" w:themeColor="text1"/>
          <w:sz w:val="18"/>
          <w:szCs w:val="18"/>
        </w:rPr>
        <w:t>4</w:t>
      </w:r>
      <w:r w:rsidRPr="00A214B0">
        <w:rPr>
          <w:rFonts w:ascii="Times New Roman" w:eastAsia="宋体" w:hAnsi="Times New Roman" w:cs="Times New Roman"/>
          <w:color w:val="000000" w:themeColor="text1"/>
          <w:sz w:val="18"/>
          <w:szCs w:val="18"/>
        </w:rPr>
        <w:t>月</w:t>
      </w:r>
      <w:r w:rsidRPr="00A214B0">
        <w:rPr>
          <w:rFonts w:ascii="Times New Roman" w:eastAsia="宋体" w:hAnsi="Times New Roman" w:cs="Times New Roman"/>
          <w:color w:val="000000" w:themeColor="text1"/>
          <w:sz w:val="18"/>
          <w:szCs w:val="18"/>
        </w:rPr>
        <w:t>30</w:t>
      </w:r>
      <w:r w:rsidRPr="00A214B0">
        <w:rPr>
          <w:rFonts w:ascii="Times New Roman" w:eastAsia="宋体" w:hAnsi="Times New Roman" w:cs="Times New Roman"/>
          <w:color w:val="000000" w:themeColor="text1"/>
          <w:sz w:val="18"/>
          <w:szCs w:val="18"/>
        </w:rPr>
        <w:t>日</w:t>
      </w:r>
      <w:r w:rsidRPr="00A214B0">
        <w:rPr>
          <w:rFonts w:ascii="Times New Roman" w:eastAsia="宋体" w:hAnsi="Times New Roman" w:cs="Times New Roman"/>
          <w:color w:val="000000" w:themeColor="text1"/>
          <w:sz w:val="18"/>
          <w:szCs w:val="18"/>
        </w:rPr>
        <w:t xml:space="preserve">                                          </w:t>
      </w:r>
      <w:r w:rsidRPr="00A214B0">
        <w:rPr>
          <w:rFonts w:ascii="Times New Roman" w:hAnsi="Times New Roman" w:cs="Times New Roman"/>
          <w:color w:val="000000" w:themeColor="text1"/>
          <w:sz w:val="18"/>
          <w:szCs w:val="18"/>
        </w:rPr>
        <w:t>金额单位：人民币万元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574"/>
        <w:gridCol w:w="1311"/>
        <w:gridCol w:w="1314"/>
        <w:gridCol w:w="1311"/>
        <w:gridCol w:w="1313"/>
      </w:tblGrid>
      <w:tr w:rsidR="009A229A" w:rsidRPr="00A214B0" w:rsidTr="00874106">
        <w:trPr>
          <w:trHeight w:val="315"/>
          <w:tblHeader/>
        </w:trPr>
        <w:tc>
          <w:tcPr>
            <w:tcW w:w="3414" w:type="dxa"/>
            <w:gridSpan w:val="2"/>
            <w:vMerge w:val="restart"/>
            <w:shd w:val="clear" w:color="auto" w:fill="D9D9D9"/>
            <w:vAlign w:val="center"/>
          </w:tcPr>
          <w:p w:rsidR="009A229A" w:rsidRPr="00A214B0" w:rsidRDefault="009A229A" w:rsidP="00874106">
            <w:pPr>
              <w:adjustRightInd w:val="0"/>
              <w:snapToGrid w:val="0"/>
              <w:spacing w:line="320" w:lineRule="exact"/>
              <w:jc w:val="center"/>
              <w:textAlignment w:val="center"/>
              <w:rPr>
                <w:bCs/>
                <w:kern w:val="0"/>
                <w:sz w:val="18"/>
                <w:szCs w:val="18"/>
              </w:rPr>
            </w:pPr>
            <w:bookmarkStart w:id="124" w:name="_Hlk503864998"/>
            <w:r w:rsidRPr="00A214B0">
              <w:rPr>
                <w:bCs/>
                <w:kern w:val="0"/>
                <w:sz w:val="18"/>
                <w:szCs w:val="18"/>
              </w:rPr>
              <w:t>项目</w:t>
            </w:r>
          </w:p>
        </w:tc>
        <w:tc>
          <w:tcPr>
            <w:tcW w:w="1311" w:type="dxa"/>
            <w:shd w:val="clear" w:color="auto" w:fill="D9D9D9"/>
            <w:vAlign w:val="center"/>
          </w:tcPr>
          <w:p w:rsidR="009A229A" w:rsidRPr="00A214B0" w:rsidRDefault="009A229A" w:rsidP="00874106">
            <w:pPr>
              <w:adjustRightInd w:val="0"/>
              <w:snapToGrid w:val="0"/>
              <w:spacing w:line="320" w:lineRule="exact"/>
              <w:jc w:val="center"/>
              <w:textAlignment w:val="center"/>
              <w:rPr>
                <w:bCs/>
                <w:kern w:val="0"/>
                <w:sz w:val="18"/>
                <w:szCs w:val="18"/>
              </w:rPr>
            </w:pPr>
            <w:r w:rsidRPr="00A214B0">
              <w:rPr>
                <w:bCs/>
                <w:kern w:val="0"/>
                <w:sz w:val="18"/>
                <w:szCs w:val="18"/>
              </w:rPr>
              <w:t>账面价值</w:t>
            </w:r>
          </w:p>
        </w:tc>
        <w:tc>
          <w:tcPr>
            <w:tcW w:w="1314" w:type="dxa"/>
            <w:shd w:val="clear" w:color="auto" w:fill="D9D9D9"/>
            <w:vAlign w:val="center"/>
          </w:tcPr>
          <w:p w:rsidR="009A229A" w:rsidRPr="00A214B0" w:rsidRDefault="009A229A" w:rsidP="00874106">
            <w:pPr>
              <w:adjustRightInd w:val="0"/>
              <w:snapToGrid w:val="0"/>
              <w:spacing w:line="320" w:lineRule="exact"/>
              <w:jc w:val="center"/>
              <w:textAlignment w:val="center"/>
              <w:rPr>
                <w:bCs/>
                <w:kern w:val="0"/>
                <w:sz w:val="18"/>
                <w:szCs w:val="18"/>
              </w:rPr>
            </w:pPr>
            <w:r w:rsidRPr="00A214B0">
              <w:rPr>
                <w:bCs/>
                <w:kern w:val="0"/>
                <w:sz w:val="18"/>
                <w:szCs w:val="18"/>
              </w:rPr>
              <w:t>评估价值</w:t>
            </w:r>
          </w:p>
        </w:tc>
        <w:tc>
          <w:tcPr>
            <w:tcW w:w="1311" w:type="dxa"/>
            <w:shd w:val="clear" w:color="auto" w:fill="D9D9D9"/>
            <w:vAlign w:val="center"/>
          </w:tcPr>
          <w:p w:rsidR="009A229A" w:rsidRPr="00A214B0" w:rsidRDefault="009A229A" w:rsidP="00874106">
            <w:pPr>
              <w:adjustRightInd w:val="0"/>
              <w:snapToGrid w:val="0"/>
              <w:spacing w:line="320" w:lineRule="exact"/>
              <w:jc w:val="center"/>
              <w:textAlignment w:val="center"/>
              <w:rPr>
                <w:bCs/>
                <w:kern w:val="0"/>
                <w:sz w:val="18"/>
                <w:szCs w:val="18"/>
              </w:rPr>
            </w:pPr>
            <w:r w:rsidRPr="00A214B0">
              <w:rPr>
                <w:bCs/>
                <w:kern w:val="0"/>
                <w:sz w:val="18"/>
                <w:szCs w:val="18"/>
              </w:rPr>
              <w:t>增减值</w:t>
            </w:r>
          </w:p>
        </w:tc>
        <w:tc>
          <w:tcPr>
            <w:tcW w:w="1313" w:type="dxa"/>
            <w:shd w:val="clear" w:color="auto" w:fill="D9D9D9"/>
            <w:vAlign w:val="center"/>
          </w:tcPr>
          <w:p w:rsidR="009A229A" w:rsidRPr="00A214B0" w:rsidRDefault="009A229A" w:rsidP="00874106">
            <w:pPr>
              <w:adjustRightInd w:val="0"/>
              <w:snapToGrid w:val="0"/>
              <w:spacing w:line="320" w:lineRule="exact"/>
              <w:jc w:val="center"/>
              <w:textAlignment w:val="center"/>
              <w:rPr>
                <w:bCs/>
                <w:kern w:val="0"/>
                <w:sz w:val="18"/>
                <w:szCs w:val="18"/>
              </w:rPr>
            </w:pPr>
            <w:r w:rsidRPr="00A214B0">
              <w:rPr>
                <w:bCs/>
                <w:kern w:val="0"/>
                <w:sz w:val="18"/>
                <w:szCs w:val="18"/>
              </w:rPr>
              <w:t>增值率</w:t>
            </w:r>
            <w:r w:rsidRPr="00A214B0">
              <w:rPr>
                <w:bCs/>
                <w:kern w:val="0"/>
                <w:sz w:val="18"/>
                <w:szCs w:val="18"/>
              </w:rPr>
              <w:t>%</w:t>
            </w:r>
          </w:p>
        </w:tc>
      </w:tr>
      <w:tr w:rsidR="009A229A" w:rsidRPr="00A214B0" w:rsidTr="00874106">
        <w:trPr>
          <w:cantSplit/>
          <w:trHeight w:val="317"/>
          <w:tblHeader/>
        </w:trPr>
        <w:tc>
          <w:tcPr>
            <w:tcW w:w="3414" w:type="dxa"/>
            <w:gridSpan w:val="2"/>
            <w:vMerge/>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p>
        </w:tc>
        <w:tc>
          <w:tcPr>
            <w:tcW w:w="1311"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A</w:t>
            </w:r>
          </w:p>
        </w:tc>
        <w:tc>
          <w:tcPr>
            <w:tcW w:w="1314"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B</w:t>
            </w:r>
          </w:p>
        </w:tc>
        <w:tc>
          <w:tcPr>
            <w:tcW w:w="1311"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C=B-A</w:t>
            </w:r>
          </w:p>
        </w:tc>
        <w:tc>
          <w:tcPr>
            <w:tcW w:w="1313"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D=C/A*100%</w:t>
            </w:r>
          </w:p>
        </w:tc>
      </w:tr>
      <w:tr w:rsidR="009A229A" w:rsidRPr="00A214B0" w:rsidTr="00874106">
        <w:trPr>
          <w:trHeight w:val="349"/>
        </w:trPr>
        <w:tc>
          <w:tcPr>
            <w:tcW w:w="2840"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一、流动资产</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1</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4,882.22</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4,880.49</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-1.73</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-0.04</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二、非流动资产</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2</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38,592.11</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42,509.07</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3,916.97</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10.15</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100" w:firstLine="180"/>
              <w:jc w:val="center"/>
              <w:textAlignment w:val="center"/>
              <w:rPr>
                <w:kern w:val="0"/>
                <w:sz w:val="18"/>
                <w:szCs w:val="18"/>
              </w:rPr>
            </w:pPr>
            <w:r w:rsidRPr="00A214B0">
              <w:rPr>
                <w:kern w:val="0"/>
                <w:sz w:val="18"/>
                <w:szCs w:val="18"/>
              </w:rPr>
              <w:t>其中：长期股权投资</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3</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3,834.58</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4,412.49</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577.91</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15.07</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500" w:firstLine="900"/>
              <w:jc w:val="center"/>
              <w:textAlignment w:val="center"/>
              <w:rPr>
                <w:kern w:val="0"/>
                <w:sz w:val="18"/>
                <w:szCs w:val="18"/>
              </w:rPr>
            </w:pPr>
            <w:r w:rsidRPr="00A214B0">
              <w:rPr>
                <w:kern w:val="0"/>
                <w:sz w:val="18"/>
                <w:szCs w:val="18"/>
              </w:rPr>
              <w:t>固定资产</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4</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31,083.20</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28,673.60</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-2,409.60</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-7.75</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500" w:firstLine="900"/>
              <w:jc w:val="center"/>
              <w:textAlignment w:val="center"/>
              <w:rPr>
                <w:kern w:val="0"/>
                <w:sz w:val="18"/>
                <w:szCs w:val="18"/>
              </w:rPr>
            </w:pPr>
            <w:r w:rsidRPr="00A214B0">
              <w:rPr>
                <w:kern w:val="0"/>
                <w:sz w:val="18"/>
                <w:szCs w:val="18"/>
              </w:rPr>
              <w:t>在建工程</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5</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826.54</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826.54</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500" w:firstLine="900"/>
              <w:jc w:val="center"/>
              <w:textAlignment w:val="center"/>
              <w:rPr>
                <w:kern w:val="0"/>
                <w:sz w:val="18"/>
                <w:szCs w:val="18"/>
              </w:rPr>
            </w:pPr>
            <w:r w:rsidRPr="00A214B0">
              <w:rPr>
                <w:kern w:val="0"/>
                <w:sz w:val="18"/>
                <w:szCs w:val="18"/>
              </w:rPr>
              <w:t>无形资产</w:t>
            </w:r>
            <w:r w:rsidRPr="00A214B0">
              <w:rPr>
                <w:kern w:val="0"/>
                <w:sz w:val="18"/>
                <w:szCs w:val="18"/>
              </w:rPr>
              <w:t>-</w:t>
            </w:r>
            <w:r w:rsidRPr="00A214B0">
              <w:rPr>
                <w:rFonts w:hint="eastAsia"/>
                <w:kern w:val="0"/>
                <w:sz w:val="18"/>
                <w:szCs w:val="18"/>
              </w:rPr>
              <w:t>土地使用权</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6</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2,066.61</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7,635.20</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5,568.59</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269.45</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400" w:firstLine="720"/>
              <w:textAlignment w:val="center"/>
              <w:rPr>
                <w:kern w:val="0"/>
                <w:sz w:val="18"/>
                <w:szCs w:val="18"/>
              </w:rPr>
            </w:pPr>
            <w:r w:rsidRPr="00A214B0">
              <w:rPr>
                <w:kern w:val="0"/>
                <w:sz w:val="18"/>
                <w:szCs w:val="18"/>
              </w:rPr>
              <w:t>无形资产</w:t>
            </w:r>
            <w:r w:rsidRPr="00A214B0">
              <w:rPr>
                <w:kern w:val="0"/>
                <w:sz w:val="18"/>
                <w:szCs w:val="18"/>
              </w:rPr>
              <w:t>-</w:t>
            </w:r>
            <w:r w:rsidRPr="00A214B0">
              <w:rPr>
                <w:rFonts w:hint="eastAsia"/>
                <w:kern w:val="0"/>
                <w:sz w:val="18"/>
                <w:szCs w:val="18"/>
              </w:rPr>
              <w:t>其他无形资产</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7</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1.09</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259.30</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258.21</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23,631.03</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500" w:firstLine="900"/>
              <w:jc w:val="center"/>
              <w:textAlignment w:val="center"/>
              <w:rPr>
                <w:kern w:val="0"/>
                <w:sz w:val="18"/>
                <w:szCs w:val="18"/>
              </w:rPr>
            </w:pPr>
            <w:r w:rsidRPr="00A214B0">
              <w:rPr>
                <w:kern w:val="0"/>
                <w:sz w:val="18"/>
                <w:szCs w:val="18"/>
              </w:rPr>
              <w:t>长期待摊费用</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8</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159.29</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81.16</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-78.13</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-49.05</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500" w:firstLine="900"/>
              <w:jc w:val="center"/>
              <w:textAlignment w:val="center"/>
              <w:rPr>
                <w:kern w:val="0"/>
                <w:sz w:val="18"/>
                <w:szCs w:val="18"/>
              </w:rPr>
            </w:pPr>
            <w:r w:rsidRPr="00A214B0">
              <w:rPr>
                <w:kern w:val="0"/>
                <w:sz w:val="18"/>
                <w:szCs w:val="18"/>
              </w:rPr>
              <w:t>递延所得税资产</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9</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120.78</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120.77</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-0.00</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-0.00</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ind w:firstLineChars="500" w:firstLine="900"/>
              <w:jc w:val="center"/>
              <w:textAlignment w:val="center"/>
              <w:rPr>
                <w:kern w:val="0"/>
                <w:sz w:val="18"/>
                <w:szCs w:val="18"/>
              </w:rPr>
            </w:pPr>
            <w:r w:rsidRPr="00A214B0">
              <w:rPr>
                <w:kern w:val="0"/>
                <w:sz w:val="18"/>
                <w:szCs w:val="18"/>
              </w:rPr>
              <w:t>其他非流动资产</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10</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500.00</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500.00</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r>
      <w:tr w:rsidR="009A229A" w:rsidRPr="00A214B0" w:rsidTr="00874106">
        <w:trPr>
          <w:trHeight w:val="315"/>
        </w:trPr>
        <w:tc>
          <w:tcPr>
            <w:tcW w:w="2840"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资产总计</w:t>
            </w:r>
          </w:p>
        </w:tc>
        <w:tc>
          <w:tcPr>
            <w:tcW w:w="574"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11</w:t>
            </w:r>
          </w:p>
        </w:tc>
        <w:tc>
          <w:tcPr>
            <w:tcW w:w="1311"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43,474.33</w:t>
            </w:r>
          </w:p>
        </w:tc>
        <w:tc>
          <w:tcPr>
            <w:tcW w:w="1314"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47,389.56</w:t>
            </w:r>
          </w:p>
        </w:tc>
        <w:tc>
          <w:tcPr>
            <w:tcW w:w="1311"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3,915.23</w:t>
            </w:r>
          </w:p>
        </w:tc>
        <w:tc>
          <w:tcPr>
            <w:tcW w:w="1313"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9.01</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三、流动负债</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12</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18,106.32</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18,106.32</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四、非流动负债</w:t>
            </w:r>
          </w:p>
        </w:tc>
        <w:tc>
          <w:tcPr>
            <w:tcW w:w="574" w:type="dxa"/>
            <w:vAlign w:val="center"/>
          </w:tcPr>
          <w:p w:rsidR="009A229A" w:rsidRPr="00A214B0" w:rsidRDefault="009A229A" w:rsidP="00874106">
            <w:pPr>
              <w:adjustRightInd w:val="0"/>
              <w:snapToGrid w:val="0"/>
              <w:spacing w:line="320" w:lineRule="exact"/>
              <w:jc w:val="center"/>
              <w:textAlignment w:val="center"/>
              <w:rPr>
                <w:kern w:val="0"/>
                <w:sz w:val="18"/>
                <w:szCs w:val="18"/>
              </w:rPr>
            </w:pPr>
            <w:r w:rsidRPr="00A214B0">
              <w:rPr>
                <w:kern w:val="0"/>
                <w:sz w:val="18"/>
                <w:szCs w:val="18"/>
              </w:rPr>
              <w:t>13</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101.00</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101.00</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r>
      <w:tr w:rsidR="009A229A" w:rsidRPr="00A214B0" w:rsidTr="00874106">
        <w:trPr>
          <w:trHeight w:val="315"/>
        </w:trPr>
        <w:tc>
          <w:tcPr>
            <w:tcW w:w="2840" w:type="dxa"/>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负债总计</w:t>
            </w:r>
          </w:p>
        </w:tc>
        <w:tc>
          <w:tcPr>
            <w:tcW w:w="574" w:type="dxa"/>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14</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18,207.32</w:t>
            </w:r>
          </w:p>
        </w:tc>
        <w:tc>
          <w:tcPr>
            <w:tcW w:w="1314"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18,207.32</w:t>
            </w:r>
          </w:p>
        </w:tc>
        <w:tc>
          <w:tcPr>
            <w:tcW w:w="1311"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c>
          <w:tcPr>
            <w:tcW w:w="1313" w:type="dxa"/>
            <w:vAlign w:val="center"/>
          </w:tcPr>
          <w:p w:rsidR="009A229A" w:rsidRPr="00A214B0" w:rsidRDefault="009A229A" w:rsidP="00874106">
            <w:pPr>
              <w:widowControl/>
              <w:jc w:val="center"/>
              <w:textAlignment w:val="center"/>
              <w:rPr>
                <w:rFonts w:ascii="Times New Roman" w:eastAsia="Arial Narrow" w:hAnsi="Times New Roman" w:cs="Times New Roman"/>
                <w:color w:val="000000"/>
                <w:kern w:val="0"/>
                <w:sz w:val="18"/>
                <w:szCs w:val="18"/>
                <w:lang w:bidi="ar"/>
              </w:rPr>
            </w:pPr>
            <w:r w:rsidRPr="00A214B0">
              <w:rPr>
                <w:rFonts w:ascii="Times New Roman" w:eastAsia="Arial Narrow" w:hAnsi="Times New Roman" w:cs="Times New Roman"/>
                <w:color w:val="000000"/>
                <w:kern w:val="0"/>
                <w:sz w:val="18"/>
                <w:szCs w:val="18"/>
                <w:lang w:bidi="ar"/>
              </w:rPr>
              <w:t>-</w:t>
            </w:r>
          </w:p>
        </w:tc>
      </w:tr>
      <w:tr w:rsidR="009A229A" w:rsidRPr="00A214B0" w:rsidTr="00874106">
        <w:trPr>
          <w:trHeight w:val="315"/>
        </w:trPr>
        <w:tc>
          <w:tcPr>
            <w:tcW w:w="2840"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净资产（所有者权益）</w:t>
            </w:r>
          </w:p>
        </w:tc>
        <w:tc>
          <w:tcPr>
            <w:tcW w:w="574" w:type="dxa"/>
            <w:shd w:val="clear" w:color="auto" w:fill="D9D9D9"/>
            <w:vAlign w:val="center"/>
          </w:tcPr>
          <w:p w:rsidR="009A229A" w:rsidRPr="00A214B0" w:rsidRDefault="009A229A" w:rsidP="00874106">
            <w:pPr>
              <w:adjustRightInd w:val="0"/>
              <w:snapToGrid w:val="0"/>
              <w:spacing w:line="320" w:lineRule="exact"/>
              <w:jc w:val="center"/>
              <w:textAlignment w:val="center"/>
              <w:rPr>
                <w:b/>
                <w:bCs/>
                <w:kern w:val="0"/>
                <w:sz w:val="18"/>
                <w:szCs w:val="18"/>
              </w:rPr>
            </w:pPr>
            <w:r w:rsidRPr="00A214B0">
              <w:rPr>
                <w:b/>
                <w:bCs/>
                <w:kern w:val="0"/>
                <w:sz w:val="18"/>
                <w:szCs w:val="18"/>
              </w:rPr>
              <w:t>15</w:t>
            </w:r>
          </w:p>
        </w:tc>
        <w:tc>
          <w:tcPr>
            <w:tcW w:w="1311"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25,267.00</w:t>
            </w:r>
          </w:p>
        </w:tc>
        <w:tc>
          <w:tcPr>
            <w:tcW w:w="1314"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29,182.24</w:t>
            </w:r>
          </w:p>
        </w:tc>
        <w:tc>
          <w:tcPr>
            <w:tcW w:w="1311"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3,915.23</w:t>
            </w:r>
          </w:p>
        </w:tc>
        <w:tc>
          <w:tcPr>
            <w:tcW w:w="1313" w:type="dxa"/>
            <w:shd w:val="clear" w:color="auto" w:fill="D9D9D9"/>
            <w:vAlign w:val="center"/>
          </w:tcPr>
          <w:p w:rsidR="009A229A" w:rsidRPr="00A214B0" w:rsidRDefault="009A229A" w:rsidP="00874106">
            <w:pPr>
              <w:widowControl/>
              <w:jc w:val="center"/>
              <w:textAlignment w:val="center"/>
              <w:rPr>
                <w:rFonts w:ascii="Times New Roman" w:eastAsia="Arial Narrow" w:hAnsi="Times New Roman" w:cs="Times New Roman"/>
                <w:b/>
                <w:color w:val="000000"/>
                <w:kern w:val="0"/>
                <w:sz w:val="18"/>
                <w:szCs w:val="18"/>
                <w:lang w:bidi="ar"/>
              </w:rPr>
            </w:pPr>
            <w:r w:rsidRPr="00A214B0">
              <w:rPr>
                <w:rFonts w:ascii="Times New Roman" w:eastAsia="Arial Narrow" w:hAnsi="Times New Roman" w:cs="Times New Roman"/>
                <w:b/>
                <w:color w:val="000000"/>
                <w:kern w:val="0"/>
                <w:sz w:val="18"/>
                <w:szCs w:val="18"/>
                <w:lang w:bidi="ar"/>
              </w:rPr>
              <w:t>15.50</w:t>
            </w:r>
          </w:p>
        </w:tc>
      </w:tr>
    </w:tbl>
    <w:bookmarkEnd w:id="124"/>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资产基础法评估结果详细情况见评估明细表。</w:t>
      </w:r>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bookmarkStart w:id="125" w:name="_Toc267862700"/>
      <w:bookmarkStart w:id="126" w:name="_Toc284660073"/>
      <w:bookmarkStart w:id="127" w:name="_Toc267862445"/>
      <w:bookmarkStart w:id="128" w:name="_Toc284660115"/>
      <w:bookmarkStart w:id="129" w:name="_Toc284660075"/>
      <w:bookmarkStart w:id="130" w:name="_Toc267862447"/>
      <w:bookmarkStart w:id="131" w:name="_Toc284660117"/>
      <w:bookmarkStart w:id="132" w:name="_Toc267862702"/>
      <w:r w:rsidRPr="00A214B0">
        <w:rPr>
          <w:rFonts w:ascii="Times New Roman" w:hAnsi="Times New Roman" w:cs="Times New Roman"/>
          <w:color w:val="000000" w:themeColor="text1"/>
          <w:sz w:val="24"/>
        </w:rPr>
        <w:t>（二）收益法评估结果</w:t>
      </w:r>
      <w:bookmarkEnd w:id="125"/>
      <w:bookmarkEnd w:id="126"/>
      <w:bookmarkEnd w:id="127"/>
      <w:bookmarkEnd w:id="128"/>
    </w:p>
    <w:p w:rsidR="00D56508" w:rsidRPr="00A214B0" w:rsidRDefault="00F1265B">
      <w:pPr>
        <w:adjustRightInd w:val="0"/>
        <w:snapToGrid w:val="0"/>
        <w:spacing w:line="360" w:lineRule="auto"/>
        <w:ind w:firstLineChars="200" w:firstLine="480"/>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截止评估基准日，收益法评估后的股东全部权益价值为</w:t>
      </w:r>
      <w:r w:rsidRPr="00A214B0">
        <w:rPr>
          <w:rFonts w:ascii="Times New Roman" w:hAnsi="Times New Roman" w:cs="Times New Roman"/>
          <w:color w:val="000000" w:themeColor="text1"/>
          <w:sz w:val="24"/>
        </w:rPr>
        <w:t>31,</w:t>
      </w:r>
      <w:r w:rsidR="0031015B" w:rsidRPr="00A214B0">
        <w:rPr>
          <w:rFonts w:ascii="Times New Roman" w:hAnsi="Times New Roman" w:cs="Times New Roman" w:hint="eastAsia"/>
          <w:color w:val="000000" w:themeColor="text1"/>
          <w:sz w:val="24"/>
        </w:rPr>
        <w:t>0</w:t>
      </w:r>
      <w:r w:rsidRPr="00A214B0">
        <w:rPr>
          <w:rFonts w:ascii="Times New Roman" w:hAnsi="Times New Roman" w:cs="Times New Roman"/>
          <w:color w:val="000000" w:themeColor="text1"/>
          <w:sz w:val="24"/>
        </w:rPr>
        <w:t>00.00</w:t>
      </w:r>
      <w:r w:rsidRPr="00A214B0">
        <w:rPr>
          <w:rFonts w:ascii="Times New Roman" w:hAnsi="Times New Roman" w:cs="Times New Roman"/>
          <w:color w:val="000000" w:themeColor="text1"/>
          <w:sz w:val="24"/>
        </w:rPr>
        <w:t>万元</w:t>
      </w:r>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（三）</w:t>
      </w:r>
      <w:bookmarkEnd w:id="129"/>
      <w:bookmarkEnd w:id="130"/>
      <w:bookmarkEnd w:id="131"/>
      <w:bookmarkEnd w:id="132"/>
      <w:r w:rsidRPr="00A214B0">
        <w:rPr>
          <w:rFonts w:ascii="Times New Roman" w:hAnsi="Times New Roman" w:cs="Times New Roman"/>
          <w:color w:val="000000" w:themeColor="text1"/>
          <w:sz w:val="24"/>
        </w:rPr>
        <w:t>两种方法评估结果差异分析及最终结果的选取</w:t>
      </w:r>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1.</w:t>
      </w:r>
      <w:r w:rsidRPr="00A214B0">
        <w:rPr>
          <w:rFonts w:ascii="Times New Roman" w:hAnsi="Times New Roman" w:cs="Times New Roman"/>
          <w:color w:val="000000" w:themeColor="text1"/>
          <w:sz w:val="24"/>
        </w:rPr>
        <w:t>差异分析</w:t>
      </w:r>
    </w:p>
    <w:p w:rsidR="00D56508" w:rsidRPr="00A214B0" w:rsidRDefault="0031015B" w:rsidP="003101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采用收益法评估得出的股东全部权益价值为</w:t>
      </w:r>
      <w:r w:rsidRPr="00A214B0">
        <w:rPr>
          <w:rFonts w:ascii="Times New Roman" w:hAnsi="Times New Roman" w:cs="Times New Roman" w:hint="eastAsia"/>
          <w:color w:val="000000" w:themeColor="text1"/>
          <w:sz w:val="24"/>
        </w:rPr>
        <w:t>31,000.00</w:t>
      </w:r>
      <w:r w:rsidRPr="00A214B0">
        <w:rPr>
          <w:rFonts w:ascii="Times New Roman" w:hAnsi="Times New Roman" w:cs="Times New Roman" w:hint="eastAsia"/>
          <w:color w:val="000000" w:themeColor="text1"/>
          <w:sz w:val="24"/>
        </w:rPr>
        <w:t>万元，资产基础法评估得出的股东全部权益价值为</w:t>
      </w:r>
      <w:r w:rsidRPr="00A214B0">
        <w:rPr>
          <w:rFonts w:ascii="Times New Roman" w:hAnsi="Times New Roman" w:cs="Times New Roman" w:hint="eastAsia"/>
          <w:color w:val="000000" w:themeColor="text1"/>
          <w:sz w:val="24"/>
        </w:rPr>
        <w:t>29,182.24</w:t>
      </w:r>
      <w:r w:rsidRPr="00A214B0">
        <w:rPr>
          <w:rFonts w:ascii="Times New Roman" w:hAnsi="Times New Roman" w:cs="Times New Roman" w:hint="eastAsia"/>
          <w:color w:val="000000" w:themeColor="text1"/>
          <w:sz w:val="24"/>
        </w:rPr>
        <w:t>万元，两者相差</w:t>
      </w:r>
      <w:r w:rsidRPr="00A214B0">
        <w:rPr>
          <w:rFonts w:ascii="Times New Roman" w:hAnsi="Times New Roman" w:cs="Times New Roman" w:hint="eastAsia"/>
          <w:color w:val="000000" w:themeColor="text1"/>
          <w:sz w:val="24"/>
        </w:rPr>
        <w:t>1,817.76</w:t>
      </w:r>
      <w:r w:rsidRPr="00A214B0">
        <w:rPr>
          <w:rFonts w:ascii="Times New Roman" w:hAnsi="Times New Roman" w:cs="Times New Roman" w:hint="eastAsia"/>
          <w:color w:val="000000" w:themeColor="text1"/>
          <w:sz w:val="24"/>
        </w:rPr>
        <w:t>万元，差异率为</w:t>
      </w:r>
      <w:r w:rsidRPr="00A214B0">
        <w:rPr>
          <w:rFonts w:ascii="Times New Roman" w:hAnsi="Times New Roman" w:cs="Times New Roman" w:hint="eastAsia"/>
          <w:color w:val="000000" w:themeColor="text1"/>
          <w:sz w:val="24"/>
        </w:rPr>
        <w:t>6.23%</w:t>
      </w:r>
      <w:r w:rsidRPr="00A214B0">
        <w:rPr>
          <w:rFonts w:ascii="Times New Roman" w:hAnsi="Times New Roman" w:cs="Times New Roman" w:hint="eastAsia"/>
          <w:color w:val="000000" w:themeColor="text1"/>
          <w:sz w:val="24"/>
        </w:rPr>
        <w:t>。</w:t>
      </w:r>
      <w:r w:rsidR="00F1265B" w:rsidRPr="00A214B0">
        <w:rPr>
          <w:rFonts w:ascii="Times New Roman" w:hAnsi="Times New Roman" w:cs="Times New Roman"/>
          <w:color w:val="000000" w:themeColor="text1"/>
          <w:sz w:val="24"/>
        </w:rPr>
        <w:t>两种评估方法差异的主要原因是：</w:t>
      </w:r>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收益法评估结果与资产基础法两种评估方法考虑的角度不同，资产基础法是从资产再取得途径考虑的，反映的是企业资产和负债的加和。收益法是从企业的未来获利能力角度考虑，从企业资产未来经营活动所产生的净现金流角度反映企业价值，反应了企业全部资产及相关业务的协同作用的能力，受企业资产及相关业务未来盈利能力、资产质量、管理人员经营能力、经营风险以及宏观经济、等多种因素的影响，不同的影响因素导致了不同的评估结果。</w:t>
      </w:r>
    </w:p>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2.</w:t>
      </w:r>
      <w:r w:rsidRPr="00A214B0">
        <w:rPr>
          <w:rFonts w:ascii="Times New Roman" w:hAnsi="Times New Roman" w:cs="Times New Roman"/>
          <w:color w:val="000000" w:themeColor="text1"/>
          <w:sz w:val="24"/>
        </w:rPr>
        <w:t>评估结果的选取</w:t>
      </w:r>
    </w:p>
    <w:bookmarkEnd w:id="122"/>
    <w:p w:rsidR="00D56508" w:rsidRPr="00A214B0" w:rsidRDefault="00F1265B">
      <w:pPr>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江苏海企化工仓储股份有限公司是一家化工仓储企业，主要从事化工产品的仓储服务，投资回报周期一般较长，其未来的发展受国民经济的发展、化工产品自身特点和化工行业的需求影响较大；其未来获得的收益依赖于上游化工行业发展，而化工行业的发展受政治、经济发展等多重影响，存在较大的不确性，对其未来收益产生较大影响。而企业资产负债清晰可以量化，故本次评估选用资产基础法评估结果作为最终评估结论。</w:t>
      </w:r>
    </w:p>
    <w:p w:rsidR="0031015B" w:rsidRPr="00A214B0" w:rsidRDefault="0031015B" w:rsidP="0031015B">
      <w:pPr>
        <w:adjustRightInd w:val="0"/>
        <w:snapToGrid w:val="0"/>
        <w:spacing w:line="360" w:lineRule="auto"/>
        <w:ind w:firstLineChars="200" w:firstLine="482"/>
        <w:contextualSpacing/>
        <w:jc w:val="left"/>
        <w:rPr>
          <w:rFonts w:ascii="Times New Roman" w:hAnsi="Times New Roman" w:cs="Times New Roman"/>
          <w:b/>
          <w:bCs/>
          <w:color w:val="000000" w:themeColor="text1"/>
          <w:sz w:val="24"/>
        </w:rPr>
      </w:pPr>
      <w:r w:rsidRPr="00A214B0">
        <w:rPr>
          <w:rFonts w:ascii="Times New Roman" w:hAnsi="Times New Roman" w:cs="Times New Roman" w:hint="eastAsia"/>
          <w:b/>
          <w:bCs/>
          <w:color w:val="000000" w:themeColor="text1"/>
          <w:sz w:val="24"/>
        </w:rPr>
        <w:t>经评估，截止评估基准日</w:t>
      </w:r>
      <w:r w:rsidRPr="00A214B0">
        <w:rPr>
          <w:rFonts w:ascii="Times New Roman" w:hAnsi="Times New Roman" w:cs="Times New Roman" w:hint="eastAsia"/>
          <w:b/>
          <w:bCs/>
          <w:color w:val="000000" w:themeColor="text1"/>
          <w:sz w:val="24"/>
        </w:rPr>
        <w:t>2019</w:t>
      </w:r>
      <w:r w:rsidRPr="00A214B0">
        <w:rPr>
          <w:rFonts w:ascii="Times New Roman" w:hAnsi="Times New Roman" w:cs="Times New Roman" w:hint="eastAsia"/>
          <w:b/>
          <w:bCs/>
          <w:color w:val="000000" w:themeColor="text1"/>
          <w:sz w:val="24"/>
        </w:rPr>
        <w:t>年</w:t>
      </w:r>
      <w:r w:rsidRPr="00A214B0">
        <w:rPr>
          <w:rFonts w:ascii="Times New Roman" w:hAnsi="Times New Roman" w:cs="Times New Roman" w:hint="eastAsia"/>
          <w:b/>
          <w:bCs/>
          <w:color w:val="000000" w:themeColor="text1"/>
          <w:sz w:val="24"/>
        </w:rPr>
        <w:t>4</w:t>
      </w:r>
      <w:r w:rsidRPr="00A214B0">
        <w:rPr>
          <w:rFonts w:ascii="Times New Roman" w:hAnsi="Times New Roman" w:cs="Times New Roman" w:hint="eastAsia"/>
          <w:b/>
          <w:bCs/>
          <w:color w:val="000000" w:themeColor="text1"/>
          <w:sz w:val="24"/>
        </w:rPr>
        <w:t>月</w:t>
      </w:r>
      <w:r w:rsidRPr="00A214B0">
        <w:rPr>
          <w:rFonts w:ascii="Times New Roman" w:hAnsi="Times New Roman" w:cs="Times New Roman" w:hint="eastAsia"/>
          <w:b/>
          <w:bCs/>
          <w:color w:val="000000" w:themeColor="text1"/>
          <w:sz w:val="24"/>
        </w:rPr>
        <w:t>30</w:t>
      </w:r>
      <w:r w:rsidRPr="00A214B0">
        <w:rPr>
          <w:rFonts w:ascii="Times New Roman" w:hAnsi="Times New Roman" w:cs="Times New Roman" w:hint="eastAsia"/>
          <w:b/>
          <w:bCs/>
          <w:color w:val="000000" w:themeColor="text1"/>
          <w:sz w:val="24"/>
        </w:rPr>
        <w:t>日，在评估假设和限制条件前提下，江苏海企化工仓储股份有限公司</w:t>
      </w:r>
      <w:r w:rsidRPr="00A214B0">
        <w:rPr>
          <w:rFonts w:ascii="Times New Roman" w:hAnsi="Times New Roman" w:cs="Times New Roman" w:hint="eastAsia"/>
          <w:b/>
          <w:bCs/>
          <w:color w:val="000000" w:themeColor="text1"/>
          <w:sz w:val="24"/>
        </w:rPr>
        <w:t>3.0425%</w:t>
      </w:r>
      <w:r w:rsidRPr="00A214B0">
        <w:rPr>
          <w:rFonts w:ascii="Times New Roman" w:hAnsi="Times New Roman" w:cs="Times New Roman" w:hint="eastAsia"/>
          <w:b/>
          <w:bCs/>
          <w:color w:val="000000" w:themeColor="text1"/>
          <w:sz w:val="24"/>
        </w:rPr>
        <w:t>股权的市场价值为</w:t>
      </w:r>
      <w:r w:rsidRPr="00A214B0">
        <w:rPr>
          <w:rFonts w:ascii="Times New Roman" w:hAnsi="Times New Roman" w:cs="Times New Roman" w:hint="eastAsia"/>
          <w:b/>
          <w:bCs/>
          <w:color w:val="000000" w:themeColor="text1"/>
          <w:sz w:val="24"/>
        </w:rPr>
        <w:t>887.87</w:t>
      </w:r>
      <w:r w:rsidRPr="00A214B0">
        <w:rPr>
          <w:rFonts w:ascii="Times New Roman" w:hAnsi="Times New Roman" w:cs="Times New Roman" w:hint="eastAsia"/>
          <w:b/>
          <w:bCs/>
          <w:color w:val="000000" w:themeColor="text1"/>
          <w:sz w:val="24"/>
        </w:rPr>
        <w:t>万元（人民币捌佰捌拾柒万捌仟柒佰圆整）。</w:t>
      </w:r>
    </w:p>
    <w:p w:rsidR="00D56508" w:rsidRPr="00A214B0" w:rsidRDefault="00F1265B" w:rsidP="0031015B">
      <w:pPr>
        <w:adjustRightInd w:val="0"/>
        <w:snapToGrid w:val="0"/>
        <w:spacing w:line="360" w:lineRule="auto"/>
        <w:ind w:firstLineChars="200" w:firstLine="480"/>
        <w:contextualSpacing/>
        <w:jc w:val="left"/>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本次评估未考虑缺乏控制权的折价及股权流动性等特殊交易对股权价值的影响。</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szCs w:val="24"/>
        </w:rPr>
      </w:pPr>
      <w:r w:rsidRPr="00A214B0">
        <w:rPr>
          <w:rFonts w:ascii="Times New Roman" w:hAnsi="Times New Roman" w:cs="Times New Roman"/>
          <w:color w:val="000000" w:themeColor="text1"/>
          <w:sz w:val="24"/>
        </w:rPr>
        <w:t>（四）</w:t>
      </w:r>
      <w:r w:rsidRPr="00A214B0">
        <w:rPr>
          <w:rFonts w:ascii="Times New Roman" w:hAnsi="Times New Roman" w:cs="Times New Roman"/>
          <w:color w:val="000000" w:themeColor="text1"/>
          <w:sz w:val="24"/>
          <w:szCs w:val="24"/>
        </w:rPr>
        <w:t>资产基础法评估结果与账面值比较变动情况及原因</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1.</w:t>
      </w:r>
      <w:r w:rsidRPr="00A214B0">
        <w:rPr>
          <w:rFonts w:ascii="Times New Roman" w:hAnsi="Times New Roman" w:cs="Times New Roman"/>
          <w:color w:val="000000" w:themeColor="text1"/>
          <w:sz w:val="24"/>
        </w:rPr>
        <w:t>评估结果与账面值比较变动情况</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评估结果与净资产账面值比较，增值</w:t>
      </w:r>
      <w:r w:rsidRPr="00A214B0">
        <w:rPr>
          <w:rFonts w:ascii="Times New Roman" w:hAnsi="Times New Roman" w:cs="Times New Roman" w:hint="eastAsia"/>
          <w:color w:val="000000" w:themeColor="text1"/>
          <w:sz w:val="24"/>
        </w:rPr>
        <w:t xml:space="preserve">3,926.21 </w:t>
      </w:r>
      <w:r w:rsidRPr="00A214B0">
        <w:rPr>
          <w:rFonts w:ascii="Times New Roman" w:hAnsi="Times New Roman" w:cs="Times New Roman"/>
          <w:color w:val="000000" w:themeColor="text1"/>
          <w:sz w:val="24"/>
        </w:rPr>
        <w:t>万元，增值率</w:t>
      </w:r>
      <w:r w:rsidRPr="00A214B0">
        <w:rPr>
          <w:rFonts w:ascii="Times New Roman" w:hAnsi="Times New Roman" w:cs="Times New Roman" w:hint="eastAsia"/>
          <w:color w:val="000000" w:themeColor="text1"/>
          <w:sz w:val="24"/>
        </w:rPr>
        <w:t xml:space="preserve">15.54 </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。与各明细科目账面值比较，其中：</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1</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流动资产：评估值为</w:t>
      </w:r>
      <w:r w:rsidRPr="00A214B0">
        <w:rPr>
          <w:rFonts w:ascii="Times New Roman" w:hAnsi="Times New Roman" w:cs="Times New Roman"/>
          <w:color w:val="000000" w:themeColor="text1"/>
          <w:sz w:val="24"/>
        </w:rPr>
        <w:t xml:space="preserve"> 4,880.99 </w:t>
      </w:r>
      <w:r w:rsidRPr="00A214B0">
        <w:rPr>
          <w:rFonts w:ascii="Times New Roman" w:hAnsi="Times New Roman" w:cs="Times New Roman"/>
          <w:color w:val="000000" w:themeColor="text1"/>
          <w:sz w:val="24"/>
        </w:rPr>
        <w:t>万元，与账面值比较，</w:t>
      </w:r>
      <w:r w:rsidRPr="00A214B0">
        <w:rPr>
          <w:rFonts w:ascii="Times New Roman" w:hAnsi="Times New Roman" w:cs="Times New Roman" w:hint="eastAsia"/>
          <w:color w:val="000000" w:themeColor="text1"/>
          <w:sz w:val="24"/>
        </w:rPr>
        <w:t>减</w:t>
      </w:r>
      <w:r w:rsidRPr="00A214B0">
        <w:rPr>
          <w:rFonts w:ascii="Times New Roman" w:hAnsi="Times New Roman" w:cs="Times New Roman"/>
          <w:color w:val="000000" w:themeColor="text1"/>
          <w:sz w:val="24"/>
        </w:rPr>
        <w:t>值</w:t>
      </w:r>
      <w:r w:rsidR="00690BDB" w:rsidRPr="00A214B0">
        <w:rPr>
          <w:rFonts w:ascii="Times New Roman" w:hAnsi="Times New Roman" w:cs="Times New Roman"/>
          <w:color w:val="000000" w:themeColor="text1"/>
          <w:sz w:val="24"/>
        </w:rPr>
        <w:t xml:space="preserve"> 1.7</w:t>
      </w:r>
      <w:r w:rsidRPr="00A214B0">
        <w:rPr>
          <w:rFonts w:ascii="Times New Roman" w:hAnsi="Times New Roman" w:cs="Times New Roman"/>
          <w:color w:val="000000" w:themeColor="text1"/>
          <w:sz w:val="24"/>
        </w:rPr>
        <w:t xml:space="preserve">3 </w:t>
      </w:r>
      <w:r w:rsidRPr="00A214B0">
        <w:rPr>
          <w:rFonts w:ascii="Times New Roman" w:hAnsi="Times New Roman" w:cs="Times New Roman"/>
          <w:color w:val="000000" w:themeColor="text1"/>
          <w:sz w:val="24"/>
        </w:rPr>
        <w:t>万元，</w:t>
      </w:r>
      <w:r w:rsidRPr="00A214B0">
        <w:rPr>
          <w:rFonts w:ascii="Times New Roman" w:hAnsi="Times New Roman" w:cs="Times New Roman" w:hint="eastAsia"/>
          <w:color w:val="000000" w:themeColor="text1"/>
          <w:sz w:val="24"/>
        </w:rPr>
        <w:t>减</w:t>
      </w:r>
      <w:r w:rsidRPr="00A214B0">
        <w:rPr>
          <w:rFonts w:ascii="Times New Roman" w:hAnsi="Times New Roman" w:cs="Times New Roman"/>
          <w:color w:val="000000" w:themeColor="text1"/>
          <w:sz w:val="24"/>
        </w:rPr>
        <w:t>值率</w:t>
      </w:r>
      <w:r w:rsidRPr="00A214B0">
        <w:rPr>
          <w:rFonts w:ascii="Times New Roman" w:hAnsi="Times New Roman" w:cs="Times New Roman" w:hint="eastAsia"/>
          <w:color w:val="000000" w:themeColor="text1"/>
          <w:sz w:val="24"/>
        </w:rPr>
        <w:t>0.0</w:t>
      </w:r>
      <w:r w:rsidR="00690BDB" w:rsidRPr="00A214B0">
        <w:rPr>
          <w:rFonts w:ascii="Times New Roman" w:hAnsi="Times New Roman" w:cs="Times New Roman"/>
          <w:color w:val="000000" w:themeColor="text1"/>
          <w:sz w:val="24"/>
        </w:rPr>
        <w:t>4</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2</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长期股权投资：评估值为</w:t>
      </w:r>
      <w:r w:rsidRPr="00A214B0">
        <w:rPr>
          <w:rFonts w:ascii="Times New Roman" w:hAnsi="Times New Roman" w:cs="Times New Roman" w:hint="eastAsia"/>
          <w:color w:val="000000" w:themeColor="text1"/>
          <w:sz w:val="24"/>
        </w:rPr>
        <w:t>4,412.49</w:t>
      </w:r>
      <w:r w:rsidRPr="00A214B0">
        <w:rPr>
          <w:rFonts w:ascii="Times New Roman" w:hAnsi="Times New Roman" w:cs="Times New Roman"/>
          <w:color w:val="000000" w:themeColor="text1"/>
          <w:sz w:val="24"/>
        </w:rPr>
        <w:t>万元，与账面值比较，</w:t>
      </w:r>
      <w:r w:rsidRPr="00A214B0">
        <w:rPr>
          <w:rFonts w:ascii="Times New Roman" w:hAnsi="Times New Roman" w:cs="Times New Roman" w:hint="eastAsia"/>
          <w:color w:val="000000" w:themeColor="text1"/>
          <w:sz w:val="24"/>
        </w:rPr>
        <w:t>增</w:t>
      </w:r>
      <w:r w:rsidRPr="00A214B0">
        <w:rPr>
          <w:rFonts w:ascii="Times New Roman" w:hAnsi="Times New Roman" w:cs="Times New Roman"/>
          <w:color w:val="000000" w:themeColor="text1"/>
          <w:sz w:val="24"/>
        </w:rPr>
        <w:t>值</w:t>
      </w:r>
      <w:r w:rsidRPr="00A214B0">
        <w:rPr>
          <w:rFonts w:ascii="Times New Roman" w:hAnsi="Times New Roman" w:cs="Times New Roman" w:hint="eastAsia"/>
          <w:color w:val="000000" w:themeColor="text1"/>
          <w:sz w:val="24"/>
        </w:rPr>
        <w:t>577.91</w:t>
      </w:r>
      <w:r w:rsidRPr="00A214B0">
        <w:rPr>
          <w:rFonts w:ascii="Times New Roman" w:hAnsi="Times New Roman" w:cs="Times New Roman"/>
          <w:color w:val="000000" w:themeColor="text1"/>
          <w:sz w:val="24"/>
        </w:rPr>
        <w:t>万元，</w:t>
      </w:r>
      <w:r w:rsidRPr="00A214B0">
        <w:rPr>
          <w:rFonts w:ascii="Times New Roman" w:hAnsi="Times New Roman" w:cs="Times New Roman" w:hint="eastAsia"/>
          <w:color w:val="000000" w:themeColor="text1"/>
          <w:sz w:val="24"/>
        </w:rPr>
        <w:t>增</w:t>
      </w:r>
      <w:r w:rsidRPr="00A214B0">
        <w:rPr>
          <w:rFonts w:ascii="Times New Roman" w:hAnsi="Times New Roman" w:cs="Times New Roman"/>
          <w:color w:val="000000" w:themeColor="text1"/>
          <w:sz w:val="24"/>
        </w:rPr>
        <w:t>值率</w:t>
      </w:r>
      <w:r w:rsidRPr="00A214B0">
        <w:rPr>
          <w:rFonts w:ascii="Times New Roman" w:hAnsi="Times New Roman" w:cs="Times New Roman" w:hint="eastAsia"/>
          <w:color w:val="000000" w:themeColor="text1"/>
          <w:sz w:val="24"/>
        </w:rPr>
        <w:t xml:space="preserve">15.07 </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3</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固定资产：评估值为</w:t>
      </w:r>
      <w:r w:rsidRPr="00A214B0">
        <w:rPr>
          <w:rFonts w:ascii="Times New Roman" w:hAnsi="Times New Roman" w:cs="Times New Roman" w:hint="eastAsia"/>
          <w:color w:val="000000" w:themeColor="text1"/>
          <w:sz w:val="24"/>
        </w:rPr>
        <w:t xml:space="preserve"> </w:t>
      </w:r>
      <w:r w:rsidR="00690BDB" w:rsidRPr="00A214B0">
        <w:rPr>
          <w:rFonts w:ascii="Times New Roman" w:hAnsi="Times New Roman" w:cs="Times New Roman"/>
          <w:color w:val="000000" w:themeColor="text1"/>
          <w:sz w:val="24"/>
        </w:rPr>
        <w:t>28,673.60</w:t>
      </w:r>
      <w:r w:rsidRPr="00A214B0">
        <w:rPr>
          <w:rFonts w:ascii="Times New Roman" w:hAnsi="Times New Roman" w:cs="Times New Roman"/>
          <w:color w:val="000000" w:themeColor="text1"/>
          <w:sz w:val="24"/>
        </w:rPr>
        <w:t>万元，与账面值比较，</w:t>
      </w:r>
      <w:r w:rsidRPr="00A214B0">
        <w:rPr>
          <w:rFonts w:ascii="Times New Roman" w:hAnsi="Times New Roman" w:cs="Times New Roman" w:hint="eastAsia"/>
          <w:color w:val="000000" w:themeColor="text1"/>
          <w:sz w:val="24"/>
        </w:rPr>
        <w:t>减</w:t>
      </w:r>
      <w:r w:rsidRPr="00A214B0">
        <w:rPr>
          <w:rFonts w:ascii="Times New Roman" w:hAnsi="Times New Roman" w:cs="Times New Roman"/>
          <w:color w:val="000000" w:themeColor="text1"/>
          <w:sz w:val="24"/>
        </w:rPr>
        <w:t>值</w:t>
      </w:r>
      <w:r w:rsidR="00690BDB" w:rsidRPr="00A214B0">
        <w:rPr>
          <w:rFonts w:ascii="Times New Roman" w:hAnsi="Times New Roman" w:cs="Times New Roman"/>
          <w:color w:val="000000" w:themeColor="text1"/>
          <w:sz w:val="24"/>
        </w:rPr>
        <w:t>2,409.60</w:t>
      </w:r>
      <w:r w:rsidRPr="00A214B0">
        <w:rPr>
          <w:rFonts w:ascii="Times New Roman" w:hAnsi="Times New Roman" w:cs="Times New Roman"/>
          <w:color w:val="000000" w:themeColor="text1"/>
          <w:sz w:val="24"/>
        </w:rPr>
        <w:t>万元，</w:t>
      </w:r>
      <w:r w:rsidRPr="00A214B0">
        <w:rPr>
          <w:rFonts w:ascii="Times New Roman" w:hAnsi="Times New Roman" w:cs="Times New Roman" w:hint="eastAsia"/>
          <w:color w:val="000000" w:themeColor="text1"/>
          <w:sz w:val="24"/>
        </w:rPr>
        <w:t>减</w:t>
      </w:r>
      <w:r w:rsidRPr="00A214B0">
        <w:rPr>
          <w:rFonts w:ascii="Times New Roman" w:hAnsi="Times New Roman" w:cs="Times New Roman"/>
          <w:color w:val="000000" w:themeColor="text1"/>
          <w:sz w:val="24"/>
        </w:rPr>
        <w:t>值率</w:t>
      </w:r>
      <w:r w:rsidR="00690BDB" w:rsidRPr="00A214B0">
        <w:rPr>
          <w:rFonts w:ascii="Times New Roman" w:hAnsi="Times New Roman" w:cs="Times New Roman" w:hint="eastAsia"/>
          <w:color w:val="000000" w:themeColor="text1"/>
          <w:sz w:val="24"/>
        </w:rPr>
        <w:t>7.75</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4</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无形资产：评估值为</w:t>
      </w:r>
      <w:r w:rsidRPr="00A214B0">
        <w:rPr>
          <w:rFonts w:ascii="Times New Roman" w:hAnsi="Times New Roman" w:cs="Times New Roman" w:hint="eastAsia"/>
          <w:color w:val="000000" w:themeColor="text1"/>
          <w:sz w:val="24"/>
        </w:rPr>
        <w:t xml:space="preserve"> </w:t>
      </w:r>
      <w:r w:rsidR="00690BDB" w:rsidRPr="00A214B0">
        <w:rPr>
          <w:rFonts w:ascii="Times New Roman" w:hAnsi="Times New Roman" w:cs="Times New Roman"/>
          <w:color w:val="000000" w:themeColor="text1"/>
          <w:sz w:val="24"/>
        </w:rPr>
        <w:t>7,894.50</w:t>
      </w:r>
      <w:r w:rsidRPr="00A214B0">
        <w:rPr>
          <w:rFonts w:ascii="Times New Roman" w:hAnsi="Times New Roman" w:cs="Times New Roman"/>
          <w:color w:val="000000" w:themeColor="text1"/>
          <w:sz w:val="24"/>
        </w:rPr>
        <w:t>万元，与账面值相比，增值</w:t>
      </w:r>
      <w:r w:rsidRPr="00A214B0">
        <w:rPr>
          <w:rFonts w:ascii="Times New Roman" w:hAnsi="Times New Roman" w:cs="Times New Roman" w:hint="eastAsia"/>
          <w:color w:val="000000" w:themeColor="text1"/>
          <w:sz w:val="24"/>
        </w:rPr>
        <w:t xml:space="preserve"> 5,826.80 </w:t>
      </w:r>
      <w:r w:rsidRPr="00A214B0">
        <w:rPr>
          <w:rFonts w:ascii="Times New Roman" w:hAnsi="Times New Roman" w:cs="Times New Roman"/>
          <w:color w:val="000000" w:themeColor="text1"/>
          <w:sz w:val="24"/>
        </w:rPr>
        <w:t>万元，增值率为</w:t>
      </w:r>
      <w:r w:rsidRPr="00A214B0">
        <w:rPr>
          <w:rFonts w:ascii="Times New Roman" w:hAnsi="Times New Roman" w:cs="Times New Roman" w:hint="eastAsia"/>
          <w:color w:val="000000" w:themeColor="text1"/>
          <w:sz w:val="24"/>
        </w:rPr>
        <w:t xml:space="preserve"> 281.80 </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5</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长期待摊费用：评估值为</w:t>
      </w:r>
      <w:r w:rsidRPr="00A214B0">
        <w:rPr>
          <w:rFonts w:ascii="Times New Roman" w:hAnsi="Times New Roman" w:cs="Times New Roman"/>
          <w:color w:val="000000" w:themeColor="text1"/>
          <w:sz w:val="24"/>
        </w:rPr>
        <w:t>81.16</w:t>
      </w:r>
      <w:r w:rsidRPr="00A214B0">
        <w:rPr>
          <w:rFonts w:ascii="Times New Roman" w:hAnsi="Times New Roman" w:cs="Times New Roman" w:hint="eastAsia"/>
          <w:color w:val="000000" w:themeColor="text1"/>
          <w:sz w:val="24"/>
        </w:rPr>
        <w:t>万元</w:t>
      </w:r>
      <w:r w:rsidRPr="00A214B0">
        <w:rPr>
          <w:rFonts w:ascii="Times New Roman" w:hAnsi="Times New Roman" w:cs="Times New Roman"/>
          <w:color w:val="000000" w:themeColor="text1"/>
          <w:sz w:val="24"/>
        </w:rPr>
        <w:t>，与账面值相比，减值</w:t>
      </w:r>
      <w:r w:rsidRPr="00A214B0">
        <w:rPr>
          <w:rFonts w:ascii="Times New Roman" w:hAnsi="Times New Roman" w:cs="Times New Roman"/>
          <w:color w:val="000000" w:themeColor="text1"/>
          <w:sz w:val="24"/>
        </w:rPr>
        <w:t>78.13</w:t>
      </w:r>
      <w:r w:rsidRPr="00A214B0">
        <w:rPr>
          <w:rFonts w:ascii="Times New Roman" w:hAnsi="Times New Roman" w:cs="Times New Roman"/>
          <w:color w:val="000000" w:themeColor="text1"/>
          <w:sz w:val="24"/>
        </w:rPr>
        <w:t>万元，减值率</w:t>
      </w:r>
      <w:r w:rsidRPr="00A214B0">
        <w:rPr>
          <w:rFonts w:ascii="Times New Roman" w:hAnsi="Times New Roman" w:cs="Times New Roman"/>
          <w:color w:val="000000" w:themeColor="text1"/>
          <w:sz w:val="24"/>
        </w:rPr>
        <w:t xml:space="preserve"> 49.05 %</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2.</w:t>
      </w:r>
      <w:r w:rsidRPr="00A214B0">
        <w:rPr>
          <w:rFonts w:ascii="Times New Roman" w:hAnsi="Times New Roman" w:cs="Times New Roman"/>
          <w:color w:val="000000" w:themeColor="text1"/>
          <w:sz w:val="24"/>
        </w:rPr>
        <w:t>评估结果与账面值比较变动主要原因分析</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海企仓储</w:t>
      </w:r>
      <w:r w:rsidRPr="00A214B0">
        <w:rPr>
          <w:rFonts w:ascii="Times New Roman" w:hAnsi="Times New Roman" w:cs="Times New Roman"/>
          <w:color w:val="000000" w:themeColor="text1"/>
          <w:sz w:val="24"/>
        </w:rPr>
        <w:t>评估结果与委估资产的账面值比较，总体呈现增值状况。主要原因为：</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color w:val="000000" w:themeColor="text1"/>
          <w:sz w:val="24"/>
        </w:rPr>
        <w:t>1.</w:t>
      </w:r>
      <w:r w:rsidRPr="00A214B0">
        <w:rPr>
          <w:rFonts w:ascii="Times New Roman" w:hAnsi="Times New Roman" w:cs="Times New Roman" w:hint="eastAsia"/>
          <w:color w:val="000000" w:themeColor="text1"/>
          <w:sz w:val="24"/>
        </w:rPr>
        <w:t>长期股权投资</w:t>
      </w:r>
      <w:r w:rsidRPr="00A214B0">
        <w:rPr>
          <w:rFonts w:ascii="Times New Roman" w:hAnsi="Times New Roman" w:cs="Times New Roman"/>
          <w:color w:val="000000" w:themeColor="text1"/>
          <w:sz w:val="24"/>
        </w:rPr>
        <w:t>形成了增值，主要因为</w:t>
      </w:r>
      <w:r w:rsidRPr="00A214B0">
        <w:rPr>
          <w:rFonts w:ascii="Times New Roman" w:hAnsi="Times New Roman" w:cs="Times New Roman" w:hint="eastAsia"/>
          <w:color w:val="000000" w:themeColor="text1"/>
          <w:sz w:val="24"/>
        </w:rPr>
        <w:t>长期投资单位</w:t>
      </w:r>
      <w:r w:rsidRPr="00A214B0">
        <w:rPr>
          <w:rFonts w:ascii="Times New Roman" w:hAnsi="Times New Roman" w:cs="Times New Roman" w:hint="eastAsia"/>
          <w:color w:val="000000" w:themeColor="text1"/>
          <w:sz w:val="24"/>
        </w:rPr>
        <w:t>-</w:t>
      </w:r>
      <w:r w:rsidRPr="00A214B0">
        <w:rPr>
          <w:rFonts w:ascii="Times New Roman" w:hAnsi="Times New Roman" w:cs="Times New Roman" w:hint="eastAsia"/>
          <w:color w:val="000000" w:themeColor="text1"/>
          <w:sz w:val="24"/>
        </w:rPr>
        <w:t>江苏海企港务有限公司采用资产基础法评估产生增值</w:t>
      </w:r>
      <w:r w:rsidRPr="00A214B0">
        <w:rPr>
          <w:rFonts w:ascii="Times New Roman" w:hAnsi="Times New Roman" w:cs="Times New Roman"/>
          <w:color w:val="000000" w:themeColor="text1"/>
          <w:sz w:val="24"/>
        </w:rPr>
        <w:t>。</w:t>
      </w:r>
    </w:p>
    <w:p w:rsidR="00D56508" w:rsidRPr="00A214B0" w:rsidRDefault="00F1265B">
      <w:pPr>
        <w:adjustRightInd w:val="0"/>
        <w:snapToGrid w:val="0"/>
        <w:spacing w:line="360" w:lineRule="auto"/>
        <w:ind w:firstLineChars="200" w:firstLine="480"/>
        <w:contextualSpacing/>
        <w:rPr>
          <w:rFonts w:ascii="Times New Roman" w:hAnsi="Times New Roman" w:cs="Times New Roman"/>
          <w:color w:val="000000" w:themeColor="text1"/>
          <w:sz w:val="24"/>
        </w:rPr>
      </w:pPr>
      <w:r w:rsidRPr="00A214B0">
        <w:rPr>
          <w:rFonts w:ascii="Times New Roman" w:hAnsi="Times New Roman" w:cs="Times New Roman" w:hint="eastAsia"/>
          <w:color w:val="000000" w:themeColor="text1"/>
          <w:sz w:val="24"/>
        </w:rPr>
        <w:t>2</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无形资产增值主要是因为</w:t>
      </w:r>
      <w:r w:rsidRPr="00A214B0">
        <w:rPr>
          <w:rFonts w:ascii="Times New Roman" w:hAnsi="Times New Roman" w:cs="Times New Roman" w:hint="eastAsia"/>
          <w:color w:val="000000" w:themeColor="text1"/>
          <w:sz w:val="24"/>
        </w:rPr>
        <w:t>：</w:t>
      </w:r>
      <w:r w:rsidRPr="00A214B0">
        <w:rPr>
          <w:rFonts w:ascii="Times New Roman" w:hAnsi="Times New Roman" w:cs="Times New Roman"/>
          <w:color w:val="000000" w:themeColor="text1"/>
          <w:sz w:val="24"/>
        </w:rPr>
        <w:t>企业的无形资产</w:t>
      </w:r>
      <w:r w:rsidRPr="00A214B0">
        <w:rPr>
          <w:rFonts w:ascii="Times New Roman" w:hAnsi="Times New Roman" w:cs="Times New Roman"/>
          <w:color w:val="000000" w:themeColor="text1"/>
          <w:sz w:val="24"/>
        </w:rPr>
        <w:t>-</w:t>
      </w:r>
      <w:r w:rsidRPr="00A214B0">
        <w:rPr>
          <w:rFonts w:ascii="Times New Roman" w:hAnsi="Times New Roman" w:cs="Times New Roman"/>
          <w:color w:val="000000" w:themeColor="text1"/>
          <w:sz w:val="24"/>
        </w:rPr>
        <w:t>土地使用权由于土地属于稀缺资源，工业用地随着开发越来越少，导致市场拍卖价格较原始取得成本涨幅较大，且企业每年摊销土地原始成本，造成评估增值</w:t>
      </w:r>
      <w:r w:rsidRPr="00A214B0">
        <w:rPr>
          <w:rFonts w:ascii="Times New Roman" w:hAnsi="Times New Roman" w:cs="Times New Roman" w:hint="eastAsia"/>
          <w:color w:val="000000" w:themeColor="text1"/>
          <w:sz w:val="24"/>
        </w:rPr>
        <w:t>；另外</w:t>
      </w:r>
      <w:r w:rsidRPr="00A214B0">
        <w:rPr>
          <w:rFonts w:ascii="Times New Roman" w:hAnsi="Times New Roman" w:cs="Times New Roman"/>
          <w:color w:val="000000" w:themeColor="text1"/>
          <w:sz w:val="24"/>
        </w:rPr>
        <w:t>账外的无形资产纳入本次评估</w:t>
      </w:r>
      <w:r w:rsidRPr="00A214B0">
        <w:rPr>
          <w:rFonts w:ascii="Times New Roman" w:hAnsi="Times New Roman" w:cs="Times New Roman" w:hint="eastAsia"/>
          <w:color w:val="000000" w:themeColor="text1"/>
          <w:sz w:val="24"/>
        </w:rPr>
        <w:t>也导致无形资产形成增值</w:t>
      </w:r>
      <w:r w:rsidRPr="00A214B0">
        <w:rPr>
          <w:rFonts w:ascii="Times New Roman" w:hAnsi="Times New Roman" w:cs="Times New Roman"/>
          <w:color w:val="000000" w:themeColor="text1"/>
          <w:sz w:val="24"/>
        </w:rPr>
        <w:t>。</w:t>
      </w:r>
    </w:p>
    <w:p w:rsidR="00D56508" w:rsidRPr="00A214B0" w:rsidRDefault="00D56508">
      <w:pPr>
        <w:pStyle w:val="a1"/>
        <w:rPr>
          <w:color w:val="000000" w:themeColor="text1"/>
        </w:rPr>
      </w:pPr>
    </w:p>
    <w:p w:rsidR="00D56508" w:rsidRPr="00E13447" w:rsidRDefault="00F1265B">
      <w:pPr>
        <w:pStyle w:val="1"/>
        <w:adjustRightInd/>
        <w:spacing w:before="100" w:beforeAutospacing="1" w:after="100" w:afterAutospacing="1" w:line="360" w:lineRule="auto"/>
        <w:contextualSpacing/>
        <w:rPr>
          <w:color w:val="000000" w:themeColor="text1"/>
          <w:sz w:val="24"/>
        </w:rPr>
      </w:pPr>
      <w:r w:rsidRPr="00A214B0">
        <w:rPr>
          <w:color w:val="000000" w:themeColor="text1"/>
          <w:sz w:val="24"/>
        </w:rPr>
        <w:br w:type="page"/>
      </w:r>
      <w:bookmarkStart w:id="133" w:name="_Toc28473"/>
      <w:bookmarkStart w:id="134" w:name="_Toc503865059"/>
      <w:r w:rsidRPr="00A214B0">
        <w:rPr>
          <w:color w:val="000000" w:themeColor="text1"/>
          <w:sz w:val="36"/>
        </w:rPr>
        <w:t>附件：第二部分</w:t>
      </w:r>
      <w:r w:rsidRPr="00A214B0">
        <w:rPr>
          <w:color w:val="000000" w:themeColor="text1"/>
          <w:sz w:val="36"/>
        </w:rPr>
        <w:t xml:space="preserve"> </w:t>
      </w:r>
      <w:r w:rsidRPr="00A214B0">
        <w:rPr>
          <w:color w:val="000000" w:themeColor="text1"/>
          <w:sz w:val="36"/>
        </w:rPr>
        <w:t>关于进行资产评估有关事项的说明</w:t>
      </w:r>
      <w:bookmarkEnd w:id="123"/>
      <w:bookmarkEnd w:id="133"/>
      <w:bookmarkEnd w:id="134"/>
    </w:p>
    <w:p w:rsidR="00D56508" w:rsidRPr="00E13447" w:rsidRDefault="00D56508">
      <w:pPr>
        <w:rPr>
          <w:rFonts w:ascii="Times New Roman" w:hAnsi="Times New Roman" w:cs="Times New Roman"/>
          <w:color w:val="000000" w:themeColor="text1"/>
        </w:rPr>
      </w:pPr>
    </w:p>
    <w:p w:rsidR="00D56508" w:rsidRPr="00E13447" w:rsidRDefault="00D56508">
      <w:pPr>
        <w:rPr>
          <w:rFonts w:ascii="Times New Roman" w:hAnsi="Times New Roman" w:cs="Times New Roman"/>
          <w:color w:val="000000" w:themeColor="text1"/>
        </w:rPr>
      </w:pPr>
    </w:p>
    <w:p w:rsidR="00D56508" w:rsidRPr="00E13447" w:rsidRDefault="00D56508">
      <w:pPr>
        <w:rPr>
          <w:rFonts w:ascii="Times New Roman" w:hAnsi="Times New Roman" w:cs="Times New Roman"/>
          <w:color w:val="000000" w:themeColor="text1"/>
        </w:rPr>
      </w:pPr>
    </w:p>
    <w:p w:rsidR="00D56508" w:rsidRPr="00E13447" w:rsidRDefault="00D56508">
      <w:pPr>
        <w:rPr>
          <w:rFonts w:ascii="Times New Roman" w:hAnsi="Times New Roman" w:cs="Times New Roman"/>
          <w:color w:val="000000" w:themeColor="text1"/>
        </w:rPr>
      </w:pPr>
    </w:p>
    <w:sectPr w:rsidR="00D56508" w:rsidRPr="00E13447">
      <w:headerReference w:type="default" r:id="rId23"/>
      <w:footerReference w:type="default" r:id="rId24"/>
      <w:pgSz w:w="11906" w:h="16838"/>
      <w:pgMar w:top="1440" w:right="1276" w:bottom="1440" w:left="1797" w:header="567" w:footer="907" w:gutter="0"/>
      <w:cols w:space="720"/>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46" w:rsidRDefault="003D0F46">
      <w:r>
        <w:separator/>
      </w:r>
    </w:p>
  </w:endnote>
  <w:endnote w:type="continuationSeparator" w:id="0">
    <w:p w:rsidR="003D0F46" w:rsidRDefault="003D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onotype Sorts">
    <w:altName w:val="Wingdings"/>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昆仑楷体">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大黑体">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方正仿宋简体">
    <w:altName w:val="宋体"/>
    <w:charset w:val="86"/>
    <w:family w:val="auto"/>
    <w:pitch w:val="default"/>
    <w:sig w:usb0="00000000" w:usb1="00000000" w:usb2="00000010" w:usb3="00000000" w:csb0="00040000" w:csb1="00000000"/>
  </w:font>
  <w:font w:name="昆仑粗隶书">
    <w:altName w:val="黑体"/>
    <w:charset w:val="86"/>
    <w:family w:val="auto"/>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1"/>
      <w:framePr w:wrap="around" w:vAnchor="text" w:hAnchor="margin" w:xAlign="right" w:y="1"/>
      <w:ind w:firstLine="360"/>
      <w:rPr>
        <w:rStyle w:val="afd"/>
      </w:rPr>
    </w:pPr>
    <w:r>
      <w:fldChar w:fldCharType="begin"/>
    </w:r>
    <w:r>
      <w:rPr>
        <w:rStyle w:val="afd"/>
      </w:rPr>
      <w:instrText xml:space="preserve">PAGE  </w:instrText>
    </w:r>
    <w:r>
      <w:fldChar w:fldCharType="end"/>
    </w:r>
  </w:p>
  <w:p w:rsidR="00DF4E61" w:rsidRDefault="00DF4E6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1"/>
      <w:tabs>
        <w:tab w:val="clear" w:pos="8306"/>
        <w:tab w:val="right" w:pos="8600"/>
      </w:tabs>
      <w:ind w:right="-96"/>
      <w:jc w:val="both"/>
      <w:rPr>
        <w:rFonts w:ascii="黑体" w:eastAsia="黑体"/>
        <w:color w:val="808080"/>
      </w:rPr>
    </w:pPr>
    <w:r>
      <w:rPr>
        <w:rFonts w:ascii="黑体" w:eastAsia="黑体" w:hint="eastAsia"/>
        <w:color w:val="808080"/>
        <w:u w:val="single"/>
      </w:rPr>
      <w:t xml:space="preserve">                                                                                             </w:t>
    </w:r>
    <w:r>
      <w:rPr>
        <w:rFonts w:ascii="黑体" w:eastAsia="黑体" w:hint="eastAsia"/>
        <w:color w:val="808080"/>
      </w:rPr>
      <w:t xml:space="preserve"> </w:t>
    </w:r>
  </w:p>
  <w:p w:rsidR="00DF4E61" w:rsidRDefault="00DF4E61">
    <w:pPr>
      <w:pStyle w:val="af1"/>
      <w:tabs>
        <w:tab w:val="clear" w:pos="8306"/>
        <w:tab w:val="right" w:pos="8600"/>
      </w:tabs>
      <w:adjustRightInd w:val="0"/>
      <w:rPr>
        <w:rFonts w:ascii="黑体" w:eastAsia="黑体" w:hAnsi="宋体"/>
      </w:rPr>
    </w:pPr>
    <w:r>
      <w:rPr>
        <w:rFonts w:ascii="黑体" w:eastAsia="黑体" w:hAnsi="宋体" w:hint="eastAsia"/>
      </w:rPr>
      <w:t>北京华亚正信资产评估有限公司                                      邮政编码：100025</w:t>
    </w:r>
  </w:p>
  <w:p w:rsidR="00DF4E61" w:rsidRDefault="00DF4E61">
    <w:pPr>
      <w:pStyle w:val="af1"/>
      <w:tabs>
        <w:tab w:val="clear" w:pos="8306"/>
        <w:tab w:val="right" w:pos="8600"/>
      </w:tabs>
      <w:adjustRightInd w:val="0"/>
      <w:rPr>
        <w:rFonts w:ascii="黑体" w:eastAsia="黑体" w:hAnsi="宋体"/>
      </w:rPr>
    </w:pPr>
    <w:r>
      <w:rPr>
        <w:rFonts w:ascii="黑体" w:eastAsia="黑体" w:hint="eastAsia"/>
      </w:rPr>
      <w:t xml:space="preserve">北京市东城区永定门西滨河路8号院中海地产广场西塔10层   </w:t>
    </w:r>
    <w:r>
      <w:rPr>
        <w:rFonts w:ascii="黑体" w:eastAsia="黑体" w:hAnsi="宋体" w:hint="eastAsia"/>
      </w:rPr>
      <w:t xml:space="preserve">                                                                               </w:t>
    </w:r>
  </w:p>
  <w:p w:rsidR="00DF4E61" w:rsidRDefault="00DF4E61">
    <w:pPr>
      <w:pStyle w:val="af1"/>
      <w:tabs>
        <w:tab w:val="clear" w:pos="8306"/>
        <w:tab w:val="right" w:pos="8600"/>
      </w:tabs>
      <w:adjustRightInd w:val="0"/>
      <w:ind w:firstLine="360"/>
    </w:pPr>
    <w:r>
      <w:rPr>
        <w:rFonts w:ascii="黑体" w:eastAsia="黑体" w:hAnsi="宋体" w:hint="eastAsia"/>
      </w:rPr>
      <w:t xml:space="preserve">                                     </w:t>
    </w:r>
  </w:p>
  <w:p w:rsidR="00DF4E61" w:rsidRDefault="00DF4E61">
    <w:pPr>
      <w:pStyle w:val="af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1"/>
      <w:tabs>
        <w:tab w:val="clear" w:pos="8306"/>
        <w:tab w:val="right" w:pos="8600"/>
      </w:tabs>
      <w:ind w:right="-96"/>
      <w:jc w:val="both"/>
      <w:rPr>
        <w:rFonts w:ascii="黑体" w:eastAsia="黑体"/>
        <w:color w:val="808080"/>
        <w:u w:val="single"/>
      </w:rPr>
    </w:pPr>
    <w:r>
      <w:rPr>
        <w:rFonts w:ascii="黑体" w:eastAsia="黑体" w:hint="eastAsia"/>
        <w:color w:val="808080"/>
        <w:u w:val="single"/>
      </w:rPr>
      <w:t xml:space="preserve">                                                                                          </w:t>
    </w:r>
    <w:r>
      <w:rPr>
        <w:rFonts w:ascii="黑体" w:eastAsia="黑体"/>
        <w:color w:val="808080"/>
        <w:u w:val="single"/>
      </w:rPr>
      <w:t xml:space="preserve">      </w:t>
    </w:r>
    <w:r>
      <w:rPr>
        <w:rFonts w:ascii="黑体" w:eastAsia="黑体" w:hint="eastAsia"/>
        <w:color w:val="808080"/>
        <w:u w:val="single"/>
      </w:rPr>
      <w:t xml:space="preserve">  </w:t>
    </w:r>
  </w:p>
  <w:p w:rsidR="00DF4E61" w:rsidRDefault="00DF4E61">
    <w:pPr>
      <w:pStyle w:val="af1"/>
      <w:tabs>
        <w:tab w:val="clear" w:pos="8306"/>
        <w:tab w:val="right" w:pos="8600"/>
      </w:tabs>
      <w:adjustRightInd w:val="0"/>
      <w:rPr>
        <w:rFonts w:ascii="黑体" w:eastAsia="黑体" w:hAnsi="宋体"/>
      </w:rPr>
    </w:pPr>
    <w:r>
      <w:rPr>
        <w:rFonts w:ascii="黑体" w:eastAsia="黑体" w:hAnsi="宋体" w:hint="eastAsia"/>
      </w:rPr>
      <w:t xml:space="preserve">北京华亚正信资产评估有限公司                                                   </w:t>
    </w:r>
  </w:p>
  <w:p w:rsidR="00DF4E61" w:rsidRDefault="00DF4E6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1"/>
      <w:tabs>
        <w:tab w:val="clear" w:pos="8306"/>
        <w:tab w:val="right" w:pos="8600"/>
      </w:tabs>
      <w:ind w:right="-96"/>
      <w:jc w:val="both"/>
      <w:rPr>
        <w:rFonts w:ascii="黑体" w:eastAsia="黑体"/>
        <w:color w:val="808080"/>
      </w:rPr>
    </w:pPr>
    <w:r>
      <w:rPr>
        <w:rFonts w:ascii="黑体" w:eastAsia="黑体" w:hint="eastAsia"/>
        <w:color w:val="808080"/>
        <w:u w:val="single"/>
      </w:rPr>
      <w:t xml:space="preserve">                                                                                         </w:t>
    </w:r>
    <w:r>
      <w:rPr>
        <w:rFonts w:ascii="黑体" w:eastAsia="黑体"/>
        <w:color w:val="808080"/>
        <w:u w:val="single"/>
      </w:rPr>
      <w:t xml:space="preserve">      </w:t>
    </w:r>
    <w:r>
      <w:rPr>
        <w:rFonts w:ascii="黑体" w:eastAsia="黑体" w:hint="eastAsia"/>
        <w:color w:val="808080"/>
        <w:u w:val="single"/>
      </w:rPr>
      <w:t xml:space="preserve">   </w:t>
    </w:r>
    <w:r>
      <w:rPr>
        <w:rFonts w:ascii="黑体" w:eastAsia="黑体" w:hint="eastAsia"/>
        <w:color w:val="808080"/>
      </w:rPr>
      <w:t xml:space="preserve"> </w:t>
    </w:r>
  </w:p>
  <w:p w:rsidR="00DF4E61" w:rsidRDefault="00DF4E61">
    <w:pPr>
      <w:pStyle w:val="af1"/>
      <w:tabs>
        <w:tab w:val="clear" w:pos="8306"/>
        <w:tab w:val="right" w:pos="8600"/>
      </w:tabs>
      <w:adjustRightInd w:val="0"/>
      <w:rPr>
        <w:rFonts w:ascii="黑体" w:eastAsia="黑体" w:hAnsi="宋体"/>
      </w:rPr>
    </w:pPr>
    <w:r>
      <w:rPr>
        <w:rFonts w:ascii="黑体" w:eastAsia="黑体" w:hAnsi="宋体" w:hint="eastAsia"/>
      </w:rPr>
      <w:t xml:space="preserve">北京华亚正信资产评估有限公司                                           </w:t>
    </w:r>
  </w:p>
  <w:p w:rsidR="00DF4E61" w:rsidRDefault="00DF4E61">
    <w:pPr>
      <w:pStyle w:val="af1"/>
      <w:tabs>
        <w:tab w:val="clear" w:pos="8306"/>
        <w:tab w:val="right" w:pos="8600"/>
      </w:tabs>
      <w:adjustRightInd w:val="0"/>
      <w:ind w:firstLine="360"/>
      <w:rPr>
        <w:rFonts w:asci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1"/>
      <w:tabs>
        <w:tab w:val="clear" w:pos="8306"/>
        <w:tab w:val="right" w:pos="8600"/>
      </w:tabs>
      <w:ind w:right="-96"/>
      <w:jc w:val="both"/>
      <w:rPr>
        <w:rFonts w:ascii="黑体" w:eastAsia="黑体"/>
        <w:color w:val="808080"/>
      </w:rPr>
    </w:pPr>
    <w:r>
      <w:rPr>
        <w:rFonts w:ascii="黑体" w:eastAsia="黑体" w:hint="eastAsia"/>
        <w:color w:val="808080"/>
        <w:u w:val="single"/>
      </w:rPr>
      <w:t xml:space="preserve">                                                                                         </w:t>
    </w:r>
    <w:r>
      <w:rPr>
        <w:rFonts w:ascii="黑体" w:eastAsia="黑体"/>
        <w:color w:val="808080"/>
        <w:u w:val="single"/>
      </w:rPr>
      <w:t xml:space="preserve">      </w:t>
    </w:r>
    <w:r>
      <w:rPr>
        <w:rFonts w:ascii="黑体" w:eastAsia="黑体" w:hint="eastAsia"/>
        <w:color w:val="808080"/>
        <w:u w:val="single"/>
      </w:rPr>
      <w:t xml:space="preserve">   </w:t>
    </w:r>
    <w:r>
      <w:rPr>
        <w:rFonts w:ascii="黑体" w:eastAsia="黑体" w:hint="eastAsia"/>
        <w:color w:val="808080"/>
      </w:rPr>
      <w:t xml:space="preserve"> </w:t>
    </w:r>
  </w:p>
  <w:p w:rsidR="00DF4E61" w:rsidRDefault="00DF4E61">
    <w:pPr>
      <w:pStyle w:val="af1"/>
      <w:tabs>
        <w:tab w:val="clear" w:pos="8306"/>
        <w:tab w:val="right" w:pos="8600"/>
      </w:tabs>
      <w:adjustRightInd w:val="0"/>
      <w:rPr>
        <w:rFonts w:ascii="黑体" w:eastAsia="黑体" w:hAnsi="宋体"/>
      </w:rPr>
    </w:pPr>
    <w:r>
      <w:rPr>
        <w:rFonts w:ascii="黑体" w:eastAsia="黑体" w:hAnsi="宋体" w:hint="eastAsia"/>
      </w:rPr>
      <w:t xml:space="preserve">北京华亚正信资产评估有限公司                                           </w:t>
    </w:r>
  </w:p>
  <w:p w:rsidR="00DF4E61" w:rsidRDefault="00DF4E61">
    <w:pPr>
      <w:pStyle w:val="af1"/>
      <w:tabs>
        <w:tab w:val="clear" w:pos="8306"/>
        <w:tab w:val="right" w:pos="8600"/>
      </w:tabs>
      <w:adjustRightInd w:val="0"/>
      <w:ind w:firstLine="360"/>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46" w:rsidRDefault="003D0F46">
      <w:r>
        <w:separator/>
      </w:r>
    </w:p>
  </w:footnote>
  <w:footnote w:type="continuationSeparator" w:id="0">
    <w:p w:rsidR="003D0F46" w:rsidRDefault="003D0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2"/>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2"/>
      <w:ind w:left="8280" w:hangingChars="4600" w:hanging="8280"/>
      <w:jc w:val="both"/>
      <w:rPr>
        <w:rFonts w:ascii="宋体" w:hAnsi="宋体"/>
        <w:i/>
        <w:szCs w:val="18"/>
      </w:rPr>
    </w:pPr>
    <w:r>
      <w:rPr>
        <w:rFonts w:ascii="宋体" w:hAnsi="宋体" w:hint="eastAsia"/>
        <w:i/>
        <w:szCs w:val="18"/>
      </w:rPr>
      <w:t>江苏省海外企业集团有限公司拟股权收购所涉及的江苏海企化工仓储股份有限公司3.0425%股权价值项目</w:t>
    </w:r>
  </w:p>
  <w:p w:rsidR="00DF4E61" w:rsidRDefault="00DF4E61">
    <w:pPr>
      <w:pStyle w:val="af2"/>
      <w:ind w:left="8280" w:hangingChars="4600" w:hanging="8280"/>
      <w:jc w:val="both"/>
      <w:rPr>
        <w:rFonts w:ascii="宋体" w:hAnsi="宋体"/>
        <w:i/>
      </w:rPr>
    </w:pPr>
    <w:r>
      <w:rPr>
        <w:rFonts w:ascii="宋体" w:hAnsi="宋体" w:hint="eastAsia"/>
        <w:i/>
        <w:szCs w:val="18"/>
      </w:rPr>
      <w:t>评估说明目录</w:t>
    </w:r>
    <w:r>
      <w:rPr>
        <w:rFonts w:ascii="宋体" w:hAnsi="宋体"/>
        <w:i/>
        <w:color w:val="808080"/>
        <w:szCs w:val="18"/>
      </w:rPr>
      <w:t xml:space="preserve">                                                                    </w:t>
    </w:r>
    <w:r>
      <w:rPr>
        <w:rFonts w:ascii="宋体" w:hAnsi="宋体" w:hint="eastAsia"/>
        <w:i/>
        <w:color w:val="808080"/>
        <w:szCs w:val="18"/>
      </w:rPr>
      <w:t xml:space="preserve">        </w:t>
    </w:r>
    <w:r>
      <w:rPr>
        <w:rFonts w:ascii="宋体" w:hAnsi="宋体"/>
        <w:i/>
        <w:color w:val="808080"/>
        <w:szCs w:val="18"/>
      </w:rPr>
      <w:t xml:space="preserve"> </w:t>
    </w:r>
    <w:r>
      <w:rPr>
        <w:rFonts w:ascii="宋体" w:hAnsi="宋体" w:hint="eastAsia"/>
        <w:color w:val="808080"/>
        <w:szCs w:val="18"/>
      </w:rPr>
      <w:t>第</w:t>
    </w:r>
    <w:r>
      <w:rPr>
        <w:rFonts w:ascii="宋体" w:hAnsi="宋体" w:hint="eastAsia"/>
        <w:color w:val="808080"/>
        <w:szCs w:val="18"/>
      </w:rPr>
      <w:fldChar w:fldCharType="begin"/>
    </w:r>
    <w:r>
      <w:rPr>
        <w:rStyle w:val="afd"/>
        <w:rFonts w:hint="eastAsia"/>
        <w:color w:val="808080"/>
        <w:szCs w:val="18"/>
      </w:rPr>
      <w:instrText xml:space="preserve"> PAGE </w:instrText>
    </w:r>
    <w:r>
      <w:rPr>
        <w:rFonts w:ascii="宋体" w:hAnsi="宋体" w:hint="eastAsia"/>
        <w:color w:val="808080"/>
        <w:szCs w:val="18"/>
      </w:rPr>
      <w:fldChar w:fldCharType="separate"/>
    </w:r>
    <w:r w:rsidR="00A214B0">
      <w:rPr>
        <w:rStyle w:val="afd"/>
        <w:noProof/>
        <w:color w:val="808080"/>
        <w:szCs w:val="18"/>
      </w:rPr>
      <w:t>i</w:t>
    </w:r>
    <w:r>
      <w:rPr>
        <w:rFonts w:ascii="宋体" w:hAnsi="宋体" w:hint="eastAsia"/>
        <w:color w:val="808080"/>
        <w:szCs w:val="18"/>
      </w:rPr>
      <w:fldChar w:fldCharType="end"/>
    </w:r>
    <w:r>
      <w:rPr>
        <w:rFonts w:ascii="宋体" w:hAnsi="宋体" w:hint="eastAsia"/>
        <w:color w:val="808080"/>
        <w:szCs w:val="18"/>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2"/>
      <w:ind w:left="8100" w:hangingChars="4500" w:hanging="8100"/>
      <w:jc w:val="left"/>
      <w:rPr>
        <w:rFonts w:ascii="宋体" w:hAnsi="宋体"/>
        <w:i/>
      </w:rPr>
    </w:pPr>
    <w:r>
      <w:rPr>
        <w:rFonts w:ascii="宋体" w:hAnsi="宋体" w:hint="eastAsia"/>
        <w:i/>
      </w:rPr>
      <w:t>江苏省海外企业集团有限公司拟股权收购所涉及的江苏海企化工仓储股份有限公司3.0425%股权价值项目</w:t>
    </w:r>
  </w:p>
  <w:p w:rsidR="00DF4E61" w:rsidRDefault="00DF4E61">
    <w:pPr>
      <w:pStyle w:val="af2"/>
      <w:ind w:left="8100" w:hangingChars="4500" w:hanging="8100"/>
      <w:jc w:val="left"/>
      <w:rPr>
        <w:rFonts w:ascii="宋体" w:hAnsi="宋体"/>
        <w:i/>
      </w:rPr>
    </w:pPr>
    <w:r>
      <w:rPr>
        <w:rFonts w:ascii="宋体" w:hAnsi="宋体" w:hint="eastAsia"/>
        <w:i/>
      </w:rPr>
      <w:t>评估说明</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第</w:t>
    </w:r>
    <w:r>
      <w:fldChar w:fldCharType="begin"/>
    </w:r>
    <w:r>
      <w:instrText xml:space="preserve"> PAGE </w:instrText>
    </w:r>
    <w:r>
      <w:fldChar w:fldCharType="separate"/>
    </w:r>
    <w:r w:rsidR="003C025A">
      <w:rPr>
        <w:noProof/>
      </w:rPr>
      <w:t>8</w:t>
    </w:r>
    <w:r>
      <w:fldChar w:fldCharType="end"/>
    </w:r>
    <w:r>
      <w:rPr>
        <w:rFonts w:ascii="宋体" w:hAnsi="宋体" w:hint="eastAsia"/>
      </w:rPr>
      <w:t>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61" w:rsidRDefault="00DF4E61">
    <w:pPr>
      <w:pStyle w:val="af2"/>
      <w:jc w:val="left"/>
      <w:rPr>
        <w:rFonts w:ascii="宋体" w:hAnsi="宋体"/>
        <w:i/>
      </w:rPr>
    </w:pPr>
    <w:r>
      <w:rPr>
        <w:rFonts w:ascii="宋体" w:hAnsi="宋体" w:hint="eastAsia"/>
        <w:i/>
      </w:rPr>
      <w:t xml:space="preserve">江苏省海外企业集团有限公司拟股权收购所涉及的江苏海企化工仓储股份有限公司3.0425%股权价值项目资产评估说明     </w:t>
    </w:r>
    <w:r>
      <w:rPr>
        <w:rFonts w:ascii="宋体" w:hAnsi="宋体"/>
        <w:i/>
      </w:rPr>
      <w:t xml:space="preserve">       </w:t>
    </w:r>
    <w:r>
      <w:rPr>
        <w:rFonts w:ascii="宋体" w:hAnsi="宋体" w:hint="eastAsia"/>
        <w:i/>
      </w:rPr>
      <w:t xml:space="preserve">         </w:t>
    </w:r>
    <w:r>
      <w:rPr>
        <w:rFonts w:ascii="宋体" w:hAnsi="宋体"/>
        <w:i/>
      </w:rPr>
      <w:t xml:space="preserve">     </w:t>
    </w:r>
    <w:r>
      <w:rPr>
        <w:rFonts w:ascii="宋体" w:hAnsi="宋体" w:hint="eastAsia"/>
        <w:i/>
      </w:rPr>
      <w:t xml:space="preserve">     </w:t>
    </w:r>
    <w:r>
      <w:rPr>
        <w:rFonts w:ascii="宋体" w:hAnsi="宋体"/>
        <w:i/>
      </w:rPr>
      <w:t xml:space="preserve">                    </w:t>
    </w:r>
    <w:r>
      <w:rPr>
        <w:rFonts w:ascii="宋体" w:hAnsi="宋体" w:hint="eastAsia"/>
        <w:i/>
      </w:rPr>
      <w:t xml:space="preserve">                     </w:t>
    </w:r>
    <w:r>
      <w:rPr>
        <w:rFonts w:ascii="宋体" w:hAnsi="宋体"/>
        <w:i/>
      </w:rPr>
      <w:t xml:space="preserve">    </w:t>
    </w:r>
    <w:r>
      <w:rPr>
        <w:rFonts w:ascii="宋体" w:hAnsi="宋体" w:hint="eastAsia"/>
        <w:i/>
      </w:rPr>
      <w:t xml:space="preserve">        </w:t>
    </w:r>
    <w:r>
      <w:rPr>
        <w:rFonts w:ascii="宋体" w:hAnsi="宋体" w:hint="eastAsia"/>
      </w:rPr>
      <w:t>第</w:t>
    </w:r>
    <w:r>
      <w:fldChar w:fldCharType="begin"/>
    </w:r>
    <w:r>
      <w:instrText xml:space="preserve"> PAGE </w:instrText>
    </w:r>
    <w:r>
      <w:fldChar w:fldCharType="separate"/>
    </w:r>
    <w:r w:rsidR="003C025A">
      <w:rPr>
        <w:noProof/>
      </w:rPr>
      <w:t>109</w:t>
    </w:r>
    <w:r>
      <w:fldChar w:fldCharType="end"/>
    </w:r>
    <w:r>
      <w:rPr>
        <w:rFonts w:ascii="宋体" w:hAnsi="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3E564"/>
    <w:multiLevelType w:val="singleLevel"/>
    <w:tmpl w:val="95E3E564"/>
    <w:lvl w:ilvl="0">
      <w:start w:val="4"/>
      <w:numFmt w:val="decimal"/>
      <w:suff w:val="nothing"/>
      <w:lvlText w:val="（%1）"/>
      <w:lvlJc w:val="left"/>
    </w:lvl>
  </w:abstractNum>
  <w:abstractNum w:abstractNumId="1">
    <w:nsid w:val="C4CBABA7"/>
    <w:multiLevelType w:val="singleLevel"/>
    <w:tmpl w:val="C4CBABA7"/>
    <w:lvl w:ilvl="0">
      <w:start w:val="5"/>
      <w:numFmt w:val="decimal"/>
      <w:suff w:val="nothing"/>
      <w:lvlText w:val="%1）"/>
      <w:lvlJc w:val="left"/>
    </w:lvl>
  </w:abstractNum>
  <w:abstractNum w:abstractNumId="2">
    <w:nsid w:val="CD2A63EE"/>
    <w:multiLevelType w:val="singleLevel"/>
    <w:tmpl w:val="CD2A63EE"/>
    <w:lvl w:ilvl="0">
      <w:start w:val="2"/>
      <w:numFmt w:val="decimal"/>
      <w:suff w:val="nothing"/>
      <w:lvlText w:val="%1、"/>
      <w:lvlJc w:val="left"/>
    </w:lvl>
  </w:abstractNum>
  <w:abstractNum w:abstractNumId="3">
    <w:nsid w:val="E0F1C6F4"/>
    <w:multiLevelType w:val="singleLevel"/>
    <w:tmpl w:val="E0F1C6F4"/>
    <w:lvl w:ilvl="0">
      <w:start w:val="7"/>
      <w:numFmt w:val="chineseCounting"/>
      <w:suff w:val="nothing"/>
      <w:lvlText w:val="（%1）"/>
      <w:lvlJc w:val="left"/>
      <w:rPr>
        <w:rFonts w:hint="eastAsia"/>
      </w:rPr>
    </w:lvl>
  </w:abstractNum>
  <w:abstractNum w:abstractNumId="4">
    <w:nsid w:val="227879E2"/>
    <w:multiLevelType w:val="singleLevel"/>
    <w:tmpl w:val="227879E2"/>
    <w:lvl w:ilvl="0">
      <w:start w:val="1"/>
      <w:numFmt w:val="decimal"/>
      <w:suff w:val="nothing"/>
      <w:lvlText w:val="（%1）"/>
      <w:lvlJc w:val="left"/>
    </w:lvl>
  </w:abstractNum>
  <w:abstractNum w:abstractNumId="5">
    <w:nsid w:val="2E0887F0"/>
    <w:multiLevelType w:val="singleLevel"/>
    <w:tmpl w:val="2E0887F0"/>
    <w:lvl w:ilvl="0">
      <w:start w:val="3"/>
      <w:numFmt w:val="chineseCounting"/>
      <w:suff w:val="nothing"/>
      <w:lvlText w:val="（%1）"/>
      <w:lvlJc w:val="left"/>
      <w:rPr>
        <w:rFonts w:hint="eastAsia"/>
      </w:rPr>
    </w:lvl>
  </w:abstractNum>
  <w:abstractNum w:abstractNumId="6">
    <w:nsid w:val="31B644D9"/>
    <w:multiLevelType w:val="multilevel"/>
    <w:tmpl w:val="31B644D9"/>
    <w:lvl w:ilvl="0">
      <w:start w:val="1"/>
      <w:numFmt w:val="lowerLetter"/>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1D67404"/>
    <w:multiLevelType w:val="multilevel"/>
    <w:tmpl w:val="41D67404"/>
    <w:lvl w:ilvl="0">
      <w:start w:val="1"/>
      <w:numFmt w:val="upperLetter"/>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nsid w:val="49015D7B"/>
    <w:multiLevelType w:val="singleLevel"/>
    <w:tmpl w:val="49015D7B"/>
    <w:lvl w:ilvl="0">
      <w:start w:val="1"/>
      <w:numFmt w:val="bullet"/>
      <w:pStyle w:val="9"/>
      <w:lvlText w:val=""/>
      <w:lvlJc w:val="left"/>
      <w:pPr>
        <w:tabs>
          <w:tab w:val="left" w:pos="425"/>
        </w:tabs>
        <w:ind w:left="425" w:hanging="425"/>
      </w:pPr>
      <w:rPr>
        <w:rFonts w:ascii="Monotype Sorts" w:hAnsi="Monotype Sorts" w:hint="default"/>
        <w:sz w:val="16"/>
      </w:rPr>
    </w:lvl>
  </w:abstractNum>
  <w:abstractNum w:abstractNumId="9">
    <w:nsid w:val="577318B1"/>
    <w:multiLevelType w:val="multilevel"/>
    <w:tmpl w:val="577318B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62E046"/>
    <w:multiLevelType w:val="singleLevel"/>
    <w:tmpl w:val="5962E046"/>
    <w:lvl w:ilvl="0">
      <w:start w:val="1"/>
      <w:numFmt w:val="decimal"/>
      <w:suff w:val="nothing"/>
      <w:lvlText w:val="（%1）"/>
      <w:lvlJc w:val="left"/>
    </w:lvl>
  </w:abstractNum>
  <w:abstractNum w:abstractNumId="11">
    <w:nsid w:val="5A129223"/>
    <w:multiLevelType w:val="singleLevel"/>
    <w:tmpl w:val="5A129223"/>
    <w:lvl w:ilvl="0">
      <w:start w:val="2"/>
      <w:numFmt w:val="chineseCounting"/>
      <w:suff w:val="space"/>
      <w:lvlText w:val="（%1）"/>
      <w:lvlJc w:val="left"/>
    </w:lvl>
  </w:abstractNum>
  <w:abstractNum w:abstractNumId="12">
    <w:nsid w:val="5A16390B"/>
    <w:multiLevelType w:val="singleLevel"/>
    <w:tmpl w:val="5A16390B"/>
    <w:lvl w:ilvl="0">
      <w:start w:val="4"/>
      <w:numFmt w:val="chineseCounting"/>
      <w:suff w:val="nothing"/>
      <w:lvlText w:val="（%1）"/>
      <w:lvlJc w:val="left"/>
    </w:lvl>
  </w:abstractNum>
  <w:abstractNum w:abstractNumId="13">
    <w:nsid w:val="5A4C9BBA"/>
    <w:multiLevelType w:val="singleLevel"/>
    <w:tmpl w:val="5A4C9BBA"/>
    <w:lvl w:ilvl="0">
      <w:start w:val="1"/>
      <w:numFmt w:val="decimal"/>
      <w:pStyle w:val="2"/>
      <w:suff w:val="nothing"/>
      <w:lvlText w:val="（%1）"/>
      <w:lvlJc w:val="left"/>
    </w:lvl>
  </w:abstractNum>
  <w:abstractNum w:abstractNumId="14">
    <w:nsid w:val="5B7CA672"/>
    <w:multiLevelType w:val="singleLevel"/>
    <w:tmpl w:val="5B7CA672"/>
    <w:lvl w:ilvl="0">
      <w:start w:val="2"/>
      <w:numFmt w:val="decimal"/>
      <w:suff w:val="nothing"/>
      <w:lvlText w:val="%1）"/>
      <w:lvlJc w:val="left"/>
    </w:lvl>
  </w:abstractNum>
  <w:abstractNum w:abstractNumId="15">
    <w:nsid w:val="66029215"/>
    <w:multiLevelType w:val="singleLevel"/>
    <w:tmpl w:val="66029215"/>
    <w:lvl w:ilvl="0">
      <w:start w:val="6"/>
      <w:numFmt w:val="decimal"/>
      <w:suff w:val="nothing"/>
      <w:lvlText w:val="%1、"/>
      <w:lvlJc w:val="left"/>
    </w:lvl>
  </w:abstractNum>
  <w:abstractNum w:abstractNumId="16">
    <w:nsid w:val="7CC84E2E"/>
    <w:multiLevelType w:val="singleLevel"/>
    <w:tmpl w:val="7CC84E2E"/>
    <w:lvl w:ilvl="0">
      <w:start w:val="2"/>
      <w:numFmt w:val="chineseCounting"/>
      <w:suff w:val="nothing"/>
      <w:lvlText w:val="（%1）"/>
      <w:lvlJc w:val="left"/>
      <w:rPr>
        <w:rFonts w:hint="eastAsia"/>
      </w:rPr>
    </w:lvl>
  </w:abstractNum>
  <w:num w:numId="1">
    <w:abstractNumId w:val="8"/>
  </w:num>
  <w:num w:numId="2">
    <w:abstractNumId w:val="13"/>
  </w:num>
  <w:num w:numId="3">
    <w:abstractNumId w:val="6"/>
  </w:num>
  <w:num w:numId="4">
    <w:abstractNumId w:val="2"/>
  </w:num>
  <w:num w:numId="5">
    <w:abstractNumId w:val="15"/>
  </w:num>
  <w:num w:numId="6">
    <w:abstractNumId w:val="14"/>
  </w:num>
  <w:num w:numId="7">
    <w:abstractNumId w:val="1"/>
  </w:num>
  <w:num w:numId="8">
    <w:abstractNumId w:val="16"/>
  </w:num>
  <w:num w:numId="9">
    <w:abstractNumId w:val="3"/>
  </w:num>
  <w:num w:numId="10">
    <w:abstractNumId w:val="10"/>
  </w:num>
  <w:num w:numId="11">
    <w:abstractNumId w:val="9"/>
  </w:num>
  <w:num w:numId="12">
    <w:abstractNumId w:val="4"/>
  </w:num>
  <w:num w:numId="13">
    <w:abstractNumId w:val="7"/>
  </w:num>
  <w:num w:numId="14">
    <w:abstractNumId w:val="0"/>
  </w:num>
  <w:num w:numId="15">
    <w:abstractNumId w:val="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hideSpellingErrors/>
  <w:hideGrammaticalErrors/>
  <w:defaultTabStop w:val="420"/>
  <w:drawingGridHorizontalSpacing w:val="105"/>
  <w:drawingGridVerticalSpacing w:val="25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0C"/>
    <w:rsid w:val="00001417"/>
    <w:rsid w:val="000063F2"/>
    <w:rsid w:val="00021CB0"/>
    <w:rsid w:val="000413C4"/>
    <w:rsid w:val="000437A0"/>
    <w:rsid w:val="00043B9F"/>
    <w:rsid w:val="000622AC"/>
    <w:rsid w:val="00073F73"/>
    <w:rsid w:val="0008122B"/>
    <w:rsid w:val="00093CE0"/>
    <w:rsid w:val="000B6F4D"/>
    <w:rsid w:val="000C4874"/>
    <w:rsid w:val="000F47D5"/>
    <w:rsid w:val="00100213"/>
    <w:rsid w:val="001018C7"/>
    <w:rsid w:val="00121AC0"/>
    <w:rsid w:val="00121C4A"/>
    <w:rsid w:val="00121DA7"/>
    <w:rsid w:val="00126AB4"/>
    <w:rsid w:val="001357E9"/>
    <w:rsid w:val="00142399"/>
    <w:rsid w:val="001512E4"/>
    <w:rsid w:val="00151C3A"/>
    <w:rsid w:val="0015700D"/>
    <w:rsid w:val="001605B4"/>
    <w:rsid w:val="00162683"/>
    <w:rsid w:val="00163178"/>
    <w:rsid w:val="00174C70"/>
    <w:rsid w:val="001751C7"/>
    <w:rsid w:val="001867CC"/>
    <w:rsid w:val="001A73A6"/>
    <w:rsid w:val="001D0134"/>
    <w:rsid w:val="001E1331"/>
    <w:rsid w:val="001E74CC"/>
    <w:rsid w:val="00222E7C"/>
    <w:rsid w:val="0024087B"/>
    <w:rsid w:val="00246ADB"/>
    <w:rsid w:val="00250EC7"/>
    <w:rsid w:val="00261634"/>
    <w:rsid w:val="002668D4"/>
    <w:rsid w:val="002735FD"/>
    <w:rsid w:val="00286959"/>
    <w:rsid w:val="002A18E1"/>
    <w:rsid w:val="002A4ECB"/>
    <w:rsid w:val="002A5684"/>
    <w:rsid w:val="002B15D4"/>
    <w:rsid w:val="002D3DE2"/>
    <w:rsid w:val="002F7143"/>
    <w:rsid w:val="00301D38"/>
    <w:rsid w:val="0031015B"/>
    <w:rsid w:val="00311870"/>
    <w:rsid w:val="00320ED0"/>
    <w:rsid w:val="00321016"/>
    <w:rsid w:val="00325C29"/>
    <w:rsid w:val="003752ED"/>
    <w:rsid w:val="00377881"/>
    <w:rsid w:val="00381635"/>
    <w:rsid w:val="00384E1C"/>
    <w:rsid w:val="0038650D"/>
    <w:rsid w:val="00386D28"/>
    <w:rsid w:val="003937C4"/>
    <w:rsid w:val="00394AE6"/>
    <w:rsid w:val="003A31CD"/>
    <w:rsid w:val="003A4725"/>
    <w:rsid w:val="003A5FF7"/>
    <w:rsid w:val="003B199E"/>
    <w:rsid w:val="003C025A"/>
    <w:rsid w:val="003C21FE"/>
    <w:rsid w:val="003D0F46"/>
    <w:rsid w:val="004037E0"/>
    <w:rsid w:val="004143EA"/>
    <w:rsid w:val="004308D4"/>
    <w:rsid w:val="00433386"/>
    <w:rsid w:val="00435BBF"/>
    <w:rsid w:val="00445BC6"/>
    <w:rsid w:val="004504E8"/>
    <w:rsid w:val="00465258"/>
    <w:rsid w:val="004718C6"/>
    <w:rsid w:val="00472677"/>
    <w:rsid w:val="004B49EF"/>
    <w:rsid w:val="004C1F9A"/>
    <w:rsid w:val="004D188D"/>
    <w:rsid w:val="004D4744"/>
    <w:rsid w:val="004D48B7"/>
    <w:rsid w:val="004E49E1"/>
    <w:rsid w:val="004E528E"/>
    <w:rsid w:val="004E686F"/>
    <w:rsid w:val="0050147D"/>
    <w:rsid w:val="00510661"/>
    <w:rsid w:val="005117D7"/>
    <w:rsid w:val="00515C39"/>
    <w:rsid w:val="0051600E"/>
    <w:rsid w:val="00532E59"/>
    <w:rsid w:val="0054085D"/>
    <w:rsid w:val="005463C6"/>
    <w:rsid w:val="00577A6A"/>
    <w:rsid w:val="005A3ED1"/>
    <w:rsid w:val="0060042D"/>
    <w:rsid w:val="00613520"/>
    <w:rsid w:val="00640DF2"/>
    <w:rsid w:val="00674BFB"/>
    <w:rsid w:val="00690BDB"/>
    <w:rsid w:val="00695F33"/>
    <w:rsid w:val="006A1A3F"/>
    <w:rsid w:val="006A2D38"/>
    <w:rsid w:val="006A478D"/>
    <w:rsid w:val="006B3602"/>
    <w:rsid w:val="006C57A5"/>
    <w:rsid w:val="006C7928"/>
    <w:rsid w:val="006D1208"/>
    <w:rsid w:val="006F5DDD"/>
    <w:rsid w:val="007141CD"/>
    <w:rsid w:val="007222BD"/>
    <w:rsid w:val="00734F95"/>
    <w:rsid w:val="00767CC3"/>
    <w:rsid w:val="007737D8"/>
    <w:rsid w:val="007A2B62"/>
    <w:rsid w:val="007B3A6A"/>
    <w:rsid w:val="007D3D15"/>
    <w:rsid w:val="007D423F"/>
    <w:rsid w:val="007D4DB3"/>
    <w:rsid w:val="007F0AB4"/>
    <w:rsid w:val="007F326D"/>
    <w:rsid w:val="008032F4"/>
    <w:rsid w:val="008038AA"/>
    <w:rsid w:val="00806714"/>
    <w:rsid w:val="0080786B"/>
    <w:rsid w:val="0081598E"/>
    <w:rsid w:val="00816982"/>
    <w:rsid w:val="00820680"/>
    <w:rsid w:val="008218A3"/>
    <w:rsid w:val="00843ABC"/>
    <w:rsid w:val="00846FBD"/>
    <w:rsid w:val="00866892"/>
    <w:rsid w:val="00871262"/>
    <w:rsid w:val="008727C3"/>
    <w:rsid w:val="008979E4"/>
    <w:rsid w:val="00907BBA"/>
    <w:rsid w:val="00910291"/>
    <w:rsid w:val="0091363A"/>
    <w:rsid w:val="00914B54"/>
    <w:rsid w:val="009362C6"/>
    <w:rsid w:val="00941C1C"/>
    <w:rsid w:val="00946C67"/>
    <w:rsid w:val="009A18C1"/>
    <w:rsid w:val="009A229A"/>
    <w:rsid w:val="009A3833"/>
    <w:rsid w:val="009B12C8"/>
    <w:rsid w:val="009C717F"/>
    <w:rsid w:val="009E6235"/>
    <w:rsid w:val="00A0077B"/>
    <w:rsid w:val="00A02370"/>
    <w:rsid w:val="00A15E2F"/>
    <w:rsid w:val="00A214B0"/>
    <w:rsid w:val="00A3003D"/>
    <w:rsid w:val="00A6468D"/>
    <w:rsid w:val="00A71D86"/>
    <w:rsid w:val="00A97ED3"/>
    <w:rsid w:val="00AB17A9"/>
    <w:rsid w:val="00AC5C30"/>
    <w:rsid w:val="00AD2CCA"/>
    <w:rsid w:val="00AD6E56"/>
    <w:rsid w:val="00AF4E76"/>
    <w:rsid w:val="00B01846"/>
    <w:rsid w:val="00B15030"/>
    <w:rsid w:val="00B24CF3"/>
    <w:rsid w:val="00B26C23"/>
    <w:rsid w:val="00B30A04"/>
    <w:rsid w:val="00B55B6D"/>
    <w:rsid w:val="00B57EA4"/>
    <w:rsid w:val="00BA754A"/>
    <w:rsid w:val="00BB0CD4"/>
    <w:rsid w:val="00BB1133"/>
    <w:rsid w:val="00BB1C56"/>
    <w:rsid w:val="00BB5E23"/>
    <w:rsid w:val="00BC0A5D"/>
    <w:rsid w:val="00BC39BB"/>
    <w:rsid w:val="00BF3348"/>
    <w:rsid w:val="00BF5FF5"/>
    <w:rsid w:val="00C01840"/>
    <w:rsid w:val="00C101B7"/>
    <w:rsid w:val="00C12839"/>
    <w:rsid w:val="00C13BC0"/>
    <w:rsid w:val="00C20D0C"/>
    <w:rsid w:val="00C30242"/>
    <w:rsid w:val="00C41981"/>
    <w:rsid w:val="00C46F20"/>
    <w:rsid w:val="00C72B32"/>
    <w:rsid w:val="00C75108"/>
    <w:rsid w:val="00C7535E"/>
    <w:rsid w:val="00C83211"/>
    <w:rsid w:val="00C95D15"/>
    <w:rsid w:val="00CA2D13"/>
    <w:rsid w:val="00CA43CA"/>
    <w:rsid w:val="00CA595D"/>
    <w:rsid w:val="00CA741F"/>
    <w:rsid w:val="00CC0D65"/>
    <w:rsid w:val="00CC35AD"/>
    <w:rsid w:val="00CC47DF"/>
    <w:rsid w:val="00CD1689"/>
    <w:rsid w:val="00CE0337"/>
    <w:rsid w:val="00CE3BD7"/>
    <w:rsid w:val="00CE4650"/>
    <w:rsid w:val="00CE7F6D"/>
    <w:rsid w:val="00CF6780"/>
    <w:rsid w:val="00D020CB"/>
    <w:rsid w:val="00D2739D"/>
    <w:rsid w:val="00D3042B"/>
    <w:rsid w:val="00D34335"/>
    <w:rsid w:val="00D50ECF"/>
    <w:rsid w:val="00D53E54"/>
    <w:rsid w:val="00D56508"/>
    <w:rsid w:val="00D6110A"/>
    <w:rsid w:val="00D669BA"/>
    <w:rsid w:val="00D70765"/>
    <w:rsid w:val="00D77C21"/>
    <w:rsid w:val="00D825AC"/>
    <w:rsid w:val="00D84AD8"/>
    <w:rsid w:val="00D86A8F"/>
    <w:rsid w:val="00D972E5"/>
    <w:rsid w:val="00DB0C07"/>
    <w:rsid w:val="00DE033E"/>
    <w:rsid w:val="00DE0C83"/>
    <w:rsid w:val="00DE419F"/>
    <w:rsid w:val="00DF4E61"/>
    <w:rsid w:val="00E0586E"/>
    <w:rsid w:val="00E13447"/>
    <w:rsid w:val="00E36842"/>
    <w:rsid w:val="00E37038"/>
    <w:rsid w:val="00E43852"/>
    <w:rsid w:val="00E51BBC"/>
    <w:rsid w:val="00E70196"/>
    <w:rsid w:val="00E77699"/>
    <w:rsid w:val="00E85E0A"/>
    <w:rsid w:val="00EA2829"/>
    <w:rsid w:val="00EC28D3"/>
    <w:rsid w:val="00EC6174"/>
    <w:rsid w:val="00ED6822"/>
    <w:rsid w:val="00EE03D8"/>
    <w:rsid w:val="00EE7E22"/>
    <w:rsid w:val="00F1265B"/>
    <w:rsid w:val="00F179F2"/>
    <w:rsid w:val="00F365A2"/>
    <w:rsid w:val="00F55918"/>
    <w:rsid w:val="00F64E53"/>
    <w:rsid w:val="00F767F7"/>
    <w:rsid w:val="00F80BE9"/>
    <w:rsid w:val="00F80D2D"/>
    <w:rsid w:val="00F83FDA"/>
    <w:rsid w:val="00F87911"/>
    <w:rsid w:val="00F97E1C"/>
    <w:rsid w:val="00FA040C"/>
    <w:rsid w:val="00FB426D"/>
    <w:rsid w:val="00FB6AE2"/>
    <w:rsid w:val="00FC5854"/>
    <w:rsid w:val="00FD0670"/>
    <w:rsid w:val="00FD72C0"/>
    <w:rsid w:val="01322384"/>
    <w:rsid w:val="014F7E3E"/>
    <w:rsid w:val="01524405"/>
    <w:rsid w:val="01604764"/>
    <w:rsid w:val="019B7F86"/>
    <w:rsid w:val="021A0FA8"/>
    <w:rsid w:val="02203FD3"/>
    <w:rsid w:val="025E7B64"/>
    <w:rsid w:val="027644C1"/>
    <w:rsid w:val="028522AA"/>
    <w:rsid w:val="02B82C98"/>
    <w:rsid w:val="02EA4E0C"/>
    <w:rsid w:val="02F916D9"/>
    <w:rsid w:val="03265C50"/>
    <w:rsid w:val="03481155"/>
    <w:rsid w:val="03AB1A23"/>
    <w:rsid w:val="03FA5096"/>
    <w:rsid w:val="03FD3436"/>
    <w:rsid w:val="04386F06"/>
    <w:rsid w:val="04881800"/>
    <w:rsid w:val="04AD09F2"/>
    <w:rsid w:val="04E3705E"/>
    <w:rsid w:val="05486F75"/>
    <w:rsid w:val="057D3E64"/>
    <w:rsid w:val="06151633"/>
    <w:rsid w:val="06301103"/>
    <w:rsid w:val="068E569E"/>
    <w:rsid w:val="06AB1B95"/>
    <w:rsid w:val="06AF4C31"/>
    <w:rsid w:val="07046B99"/>
    <w:rsid w:val="074C23B1"/>
    <w:rsid w:val="07946213"/>
    <w:rsid w:val="0795592B"/>
    <w:rsid w:val="07E91424"/>
    <w:rsid w:val="085B28E8"/>
    <w:rsid w:val="08745A27"/>
    <w:rsid w:val="08C2019C"/>
    <w:rsid w:val="08CF56FB"/>
    <w:rsid w:val="090D26C3"/>
    <w:rsid w:val="09146641"/>
    <w:rsid w:val="09587B04"/>
    <w:rsid w:val="096C0DA5"/>
    <w:rsid w:val="09B31E83"/>
    <w:rsid w:val="0A372021"/>
    <w:rsid w:val="0A465DA9"/>
    <w:rsid w:val="0A8432C1"/>
    <w:rsid w:val="0ADA15D5"/>
    <w:rsid w:val="0B186024"/>
    <w:rsid w:val="0B434C6B"/>
    <w:rsid w:val="0C333EDA"/>
    <w:rsid w:val="0C40310C"/>
    <w:rsid w:val="0C527C56"/>
    <w:rsid w:val="0C65224B"/>
    <w:rsid w:val="0C9326B3"/>
    <w:rsid w:val="0CA7270A"/>
    <w:rsid w:val="0CE9728C"/>
    <w:rsid w:val="0D450372"/>
    <w:rsid w:val="0D5F3EC8"/>
    <w:rsid w:val="0DBA5FC9"/>
    <w:rsid w:val="0DBA63E3"/>
    <w:rsid w:val="0DD105AA"/>
    <w:rsid w:val="0DF3531C"/>
    <w:rsid w:val="0DF6296B"/>
    <w:rsid w:val="0E39080E"/>
    <w:rsid w:val="0ED40B30"/>
    <w:rsid w:val="0EDF5B3B"/>
    <w:rsid w:val="0EF26A2A"/>
    <w:rsid w:val="0F223E68"/>
    <w:rsid w:val="0F3125A6"/>
    <w:rsid w:val="0F3F6B7B"/>
    <w:rsid w:val="0F957878"/>
    <w:rsid w:val="102326E8"/>
    <w:rsid w:val="104F6672"/>
    <w:rsid w:val="108A1591"/>
    <w:rsid w:val="10E22C34"/>
    <w:rsid w:val="113971EF"/>
    <w:rsid w:val="119E105B"/>
    <w:rsid w:val="11A27AB4"/>
    <w:rsid w:val="11B34FAA"/>
    <w:rsid w:val="12277714"/>
    <w:rsid w:val="1231677E"/>
    <w:rsid w:val="123468AF"/>
    <w:rsid w:val="12492C46"/>
    <w:rsid w:val="124F7F2D"/>
    <w:rsid w:val="12994BBE"/>
    <w:rsid w:val="12A91C4B"/>
    <w:rsid w:val="12DF4020"/>
    <w:rsid w:val="12F20F2E"/>
    <w:rsid w:val="12F54C29"/>
    <w:rsid w:val="12FF3E1E"/>
    <w:rsid w:val="13761F6C"/>
    <w:rsid w:val="138248D8"/>
    <w:rsid w:val="141E37EE"/>
    <w:rsid w:val="149F4974"/>
    <w:rsid w:val="14AD75DF"/>
    <w:rsid w:val="14BB53BE"/>
    <w:rsid w:val="14D369D2"/>
    <w:rsid w:val="14D95729"/>
    <w:rsid w:val="14E45727"/>
    <w:rsid w:val="15020E00"/>
    <w:rsid w:val="150407A6"/>
    <w:rsid w:val="15602E33"/>
    <w:rsid w:val="15AD6ABE"/>
    <w:rsid w:val="15B51019"/>
    <w:rsid w:val="1643367C"/>
    <w:rsid w:val="16A9283C"/>
    <w:rsid w:val="16F2719D"/>
    <w:rsid w:val="170506A6"/>
    <w:rsid w:val="173445A8"/>
    <w:rsid w:val="1757100D"/>
    <w:rsid w:val="17766DA7"/>
    <w:rsid w:val="179E3708"/>
    <w:rsid w:val="18295523"/>
    <w:rsid w:val="18730C28"/>
    <w:rsid w:val="18790839"/>
    <w:rsid w:val="188346E7"/>
    <w:rsid w:val="189B05A4"/>
    <w:rsid w:val="18C661DC"/>
    <w:rsid w:val="18CC2F61"/>
    <w:rsid w:val="19A37C51"/>
    <w:rsid w:val="19A46B60"/>
    <w:rsid w:val="19C2656A"/>
    <w:rsid w:val="19EC7626"/>
    <w:rsid w:val="1A0135AE"/>
    <w:rsid w:val="1A242E9F"/>
    <w:rsid w:val="1A2D1107"/>
    <w:rsid w:val="1A734677"/>
    <w:rsid w:val="1AEF4D13"/>
    <w:rsid w:val="1AFB729F"/>
    <w:rsid w:val="1B0215F0"/>
    <w:rsid w:val="1B727C4F"/>
    <w:rsid w:val="1B9C747D"/>
    <w:rsid w:val="1BDF37B5"/>
    <w:rsid w:val="1C2604CD"/>
    <w:rsid w:val="1C626CEB"/>
    <w:rsid w:val="1C6E7162"/>
    <w:rsid w:val="1C865C41"/>
    <w:rsid w:val="1CA323CF"/>
    <w:rsid w:val="1D3F374B"/>
    <w:rsid w:val="1D473C2D"/>
    <w:rsid w:val="1D70086A"/>
    <w:rsid w:val="1D725182"/>
    <w:rsid w:val="1D8173BE"/>
    <w:rsid w:val="1DB379E1"/>
    <w:rsid w:val="1DCC4FC2"/>
    <w:rsid w:val="1E1F3908"/>
    <w:rsid w:val="1E246E67"/>
    <w:rsid w:val="1E474801"/>
    <w:rsid w:val="1E547A17"/>
    <w:rsid w:val="1EE170A4"/>
    <w:rsid w:val="1F606DCB"/>
    <w:rsid w:val="1F647317"/>
    <w:rsid w:val="1FE37E26"/>
    <w:rsid w:val="1FF31E10"/>
    <w:rsid w:val="1FFB5974"/>
    <w:rsid w:val="20803CA3"/>
    <w:rsid w:val="20D2785A"/>
    <w:rsid w:val="20F43C1C"/>
    <w:rsid w:val="210569EC"/>
    <w:rsid w:val="211D51D5"/>
    <w:rsid w:val="2145318B"/>
    <w:rsid w:val="21580FE3"/>
    <w:rsid w:val="216C172E"/>
    <w:rsid w:val="218D543F"/>
    <w:rsid w:val="21B30956"/>
    <w:rsid w:val="22253AF6"/>
    <w:rsid w:val="222E42EE"/>
    <w:rsid w:val="224F3CE8"/>
    <w:rsid w:val="22876DB6"/>
    <w:rsid w:val="22992FCF"/>
    <w:rsid w:val="22A90197"/>
    <w:rsid w:val="233A3F57"/>
    <w:rsid w:val="23681AA9"/>
    <w:rsid w:val="241703C9"/>
    <w:rsid w:val="243E6D2B"/>
    <w:rsid w:val="24DC05E6"/>
    <w:rsid w:val="24FC6166"/>
    <w:rsid w:val="24FD6677"/>
    <w:rsid w:val="250D6DA4"/>
    <w:rsid w:val="2536080E"/>
    <w:rsid w:val="25E94549"/>
    <w:rsid w:val="260B3CE5"/>
    <w:rsid w:val="26747040"/>
    <w:rsid w:val="271D0DC1"/>
    <w:rsid w:val="27DA6566"/>
    <w:rsid w:val="27F52EF8"/>
    <w:rsid w:val="28200D92"/>
    <w:rsid w:val="284C69D2"/>
    <w:rsid w:val="288B06DF"/>
    <w:rsid w:val="28DC5EED"/>
    <w:rsid w:val="28F9658A"/>
    <w:rsid w:val="29054CF9"/>
    <w:rsid w:val="292C6BE8"/>
    <w:rsid w:val="2977015C"/>
    <w:rsid w:val="2A164289"/>
    <w:rsid w:val="2A7A0B1B"/>
    <w:rsid w:val="2A7F45C9"/>
    <w:rsid w:val="2AC47F46"/>
    <w:rsid w:val="2AC86C61"/>
    <w:rsid w:val="2ADC21F6"/>
    <w:rsid w:val="2AE178B0"/>
    <w:rsid w:val="2B022AE8"/>
    <w:rsid w:val="2B1865EA"/>
    <w:rsid w:val="2B3550B9"/>
    <w:rsid w:val="2B781D1E"/>
    <w:rsid w:val="2BCD7F1D"/>
    <w:rsid w:val="2BEB0A6E"/>
    <w:rsid w:val="2BF71DD2"/>
    <w:rsid w:val="2BFB3A2B"/>
    <w:rsid w:val="2C113AE9"/>
    <w:rsid w:val="2C9A30BF"/>
    <w:rsid w:val="2D0C2383"/>
    <w:rsid w:val="2D180374"/>
    <w:rsid w:val="2D3F4885"/>
    <w:rsid w:val="2D8404CF"/>
    <w:rsid w:val="2E0F1DC4"/>
    <w:rsid w:val="2E107959"/>
    <w:rsid w:val="2E152783"/>
    <w:rsid w:val="2E233A17"/>
    <w:rsid w:val="2E946AE1"/>
    <w:rsid w:val="2EC338F6"/>
    <w:rsid w:val="2ED12DE0"/>
    <w:rsid w:val="2F16087B"/>
    <w:rsid w:val="2F980F62"/>
    <w:rsid w:val="2FA65AC4"/>
    <w:rsid w:val="2FDE7D10"/>
    <w:rsid w:val="307E7546"/>
    <w:rsid w:val="30A27342"/>
    <w:rsid w:val="30BE5949"/>
    <w:rsid w:val="30D705C9"/>
    <w:rsid w:val="316B5759"/>
    <w:rsid w:val="316D6E34"/>
    <w:rsid w:val="31DC008D"/>
    <w:rsid w:val="31DD4363"/>
    <w:rsid w:val="31E24561"/>
    <w:rsid w:val="324A6CBB"/>
    <w:rsid w:val="32A9001E"/>
    <w:rsid w:val="337F061B"/>
    <w:rsid w:val="33BB7C82"/>
    <w:rsid w:val="33F86C37"/>
    <w:rsid w:val="34887DA0"/>
    <w:rsid w:val="349704CC"/>
    <w:rsid w:val="34F31F5A"/>
    <w:rsid w:val="35317143"/>
    <w:rsid w:val="35502B69"/>
    <w:rsid w:val="35AB4932"/>
    <w:rsid w:val="35E22BB9"/>
    <w:rsid w:val="35F22127"/>
    <w:rsid w:val="36423370"/>
    <w:rsid w:val="36B3620B"/>
    <w:rsid w:val="36B66D23"/>
    <w:rsid w:val="36C45570"/>
    <w:rsid w:val="36C95D8C"/>
    <w:rsid w:val="36CA3773"/>
    <w:rsid w:val="36E0541D"/>
    <w:rsid w:val="36EF60EE"/>
    <w:rsid w:val="374F39D9"/>
    <w:rsid w:val="37861451"/>
    <w:rsid w:val="3882038E"/>
    <w:rsid w:val="38C43E06"/>
    <w:rsid w:val="38C53732"/>
    <w:rsid w:val="38DB0E2C"/>
    <w:rsid w:val="38EB6518"/>
    <w:rsid w:val="397072E3"/>
    <w:rsid w:val="39BB081B"/>
    <w:rsid w:val="3A5756BB"/>
    <w:rsid w:val="3A793C93"/>
    <w:rsid w:val="3AAF09E8"/>
    <w:rsid w:val="3AE710EB"/>
    <w:rsid w:val="3B892CF9"/>
    <w:rsid w:val="3BBE173A"/>
    <w:rsid w:val="3BF24C75"/>
    <w:rsid w:val="3BFE3C8B"/>
    <w:rsid w:val="3C420048"/>
    <w:rsid w:val="3C9E3701"/>
    <w:rsid w:val="3CA32989"/>
    <w:rsid w:val="3CA60DB7"/>
    <w:rsid w:val="3CB90F9E"/>
    <w:rsid w:val="3CC53576"/>
    <w:rsid w:val="3D232399"/>
    <w:rsid w:val="3D585459"/>
    <w:rsid w:val="3D7279D4"/>
    <w:rsid w:val="3D94061B"/>
    <w:rsid w:val="3E046F6A"/>
    <w:rsid w:val="3E776F56"/>
    <w:rsid w:val="3EC7737F"/>
    <w:rsid w:val="3F044F7A"/>
    <w:rsid w:val="3F0D3184"/>
    <w:rsid w:val="3F3C48F7"/>
    <w:rsid w:val="3F8B0008"/>
    <w:rsid w:val="3FA61152"/>
    <w:rsid w:val="3FFB0192"/>
    <w:rsid w:val="4029620E"/>
    <w:rsid w:val="41E24D74"/>
    <w:rsid w:val="421C2DE3"/>
    <w:rsid w:val="422271C4"/>
    <w:rsid w:val="42727611"/>
    <w:rsid w:val="42831CC1"/>
    <w:rsid w:val="428D28B1"/>
    <w:rsid w:val="42910EAE"/>
    <w:rsid w:val="42DF3AFE"/>
    <w:rsid w:val="42ED1CF9"/>
    <w:rsid w:val="43471B68"/>
    <w:rsid w:val="435656BF"/>
    <w:rsid w:val="435C0A56"/>
    <w:rsid w:val="4362018B"/>
    <w:rsid w:val="43663C8D"/>
    <w:rsid w:val="43984E42"/>
    <w:rsid w:val="439D5F1E"/>
    <w:rsid w:val="43B4717F"/>
    <w:rsid w:val="43D20645"/>
    <w:rsid w:val="43D3091F"/>
    <w:rsid w:val="43DE44D0"/>
    <w:rsid w:val="44724198"/>
    <w:rsid w:val="44745BA0"/>
    <w:rsid w:val="44EA18E7"/>
    <w:rsid w:val="45075236"/>
    <w:rsid w:val="450A5B7F"/>
    <w:rsid w:val="452D1F9B"/>
    <w:rsid w:val="45357075"/>
    <w:rsid w:val="453C2EFE"/>
    <w:rsid w:val="45A46FB6"/>
    <w:rsid w:val="460204EE"/>
    <w:rsid w:val="46070AD5"/>
    <w:rsid w:val="46241DF7"/>
    <w:rsid w:val="4641192D"/>
    <w:rsid w:val="46681A7E"/>
    <w:rsid w:val="46707B3C"/>
    <w:rsid w:val="469C02EB"/>
    <w:rsid w:val="469E2139"/>
    <w:rsid w:val="46AB04D8"/>
    <w:rsid w:val="46EF718C"/>
    <w:rsid w:val="471071D8"/>
    <w:rsid w:val="4728242D"/>
    <w:rsid w:val="47E10620"/>
    <w:rsid w:val="48246EFB"/>
    <w:rsid w:val="482F0AEF"/>
    <w:rsid w:val="48346985"/>
    <w:rsid w:val="48414B6D"/>
    <w:rsid w:val="488B3F77"/>
    <w:rsid w:val="48A06544"/>
    <w:rsid w:val="48B66C4C"/>
    <w:rsid w:val="49066E15"/>
    <w:rsid w:val="493043DB"/>
    <w:rsid w:val="4932354A"/>
    <w:rsid w:val="49746732"/>
    <w:rsid w:val="49885928"/>
    <w:rsid w:val="49C53C6F"/>
    <w:rsid w:val="4ACB6880"/>
    <w:rsid w:val="4AF31A0A"/>
    <w:rsid w:val="4B2D4EE6"/>
    <w:rsid w:val="4B6573F0"/>
    <w:rsid w:val="4BF46635"/>
    <w:rsid w:val="4D040B2E"/>
    <w:rsid w:val="4D8855A2"/>
    <w:rsid w:val="4D896EC4"/>
    <w:rsid w:val="4DB830B1"/>
    <w:rsid w:val="4DD4545B"/>
    <w:rsid w:val="4DD63900"/>
    <w:rsid w:val="4E116112"/>
    <w:rsid w:val="4E2A1FB9"/>
    <w:rsid w:val="4EFA0E2F"/>
    <w:rsid w:val="4F133E36"/>
    <w:rsid w:val="4FEB4341"/>
    <w:rsid w:val="50175E88"/>
    <w:rsid w:val="50382810"/>
    <w:rsid w:val="504B4FC4"/>
    <w:rsid w:val="50797CFF"/>
    <w:rsid w:val="51182A90"/>
    <w:rsid w:val="513F657C"/>
    <w:rsid w:val="514007AF"/>
    <w:rsid w:val="51770414"/>
    <w:rsid w:val="51A54366"/>
    <w:rsid w:val="52227E8D"/>
    <w:rsid w:val="525169FF"/>
    <w:rsid w:val="528B692F"/>
    <w:rsid w:val="528F3AFF"/>
    <w:rsid w:val="52AD475A"/>
    <w:rsid w:val="53102979"/>
    <w:rsid w:val="53340E98"/>
    <w:rsid w:val="53C8424A"/>
    <w:rsid w:val="53FE37D6"/>
    <w:rsid w:val="540523B5"/>
    <w:rsid w:val="54611101"/>
    <w:rsid w:val="5471281F"/>
    <w:rsid w:val="548D723C"/>
    <w:rsid w:val="54B67DEB"/>
    <w:rsid w:val="55027744"/>
    <w:rsid w:val="55A2018D"/>
    <w:rsid w:val="55BC52B6"/>
    <w:rsid w:val="55C43125"/>
    <w:rsid w:val="564C4331"/>
    <w:rsid w:val="56662191"/>
    <w:rsid w:val="56B945A8"/>
    <w:rsid w:val="574D51BD"/>
    <w:rsid w:val="57694AC1"/>
    <w:rsid w:val="57732DA4"/>
    <w:rsid w:val="5794402D"/>
    <w:rsid w:val="57BF2E00"/>
    <w:rsid w:val="57D31A1F"/>
    <w:rsid w:val="57E83DD3"/>
    <w:rsid w:val="57EC502F"/>
    <w:rsid w:val="57F83DA4"/>
    <w:rsid w:val="58073FE0"/>
    <w:rsid w:val="582665C3"/>
    <w:rsid w:val="585C21F2"/>
    <w:rsid w:val="5912062A"/>
    <w:rsid w:val="595C611E"/>
    <w:rsid w:val="59713230"/>
    <w:rsid w:val="59B538CD"/>
    <w:rsid w:val="5A1A2151"/>
    <w:rsid w:val="5A2175F1"/>
    <w:rsid w:val="5A6E54B2"/>
    <w:rsid w:val="5A864BAF"/>
    <w:rsid w:val="5AA61A3F"/>
    <w:rsid w:val="5AEF7EC8"/>
    <w:rsid w:val="5B421D25"/>
    <w:rsid w:val="5B9D1063"/>
    <w:rsid w:val="5BB65725"/>
    <w:rsid w:val="5C680C67"/>
    <w:rsid w:val="5C827100"/>
    <w:rsid w:val="5D065A4E"/>
    <w:rsid w:val="5E0D6E17"/>
    <w:rsid w:val="5E612656"/>
    <w:rsid w:val="5EC938E2"/>
    <w:rsid w:val="5EF21231"/>
    <w:rsid w:val="5F090ECC"/>
    <w:rsid w:val="5F102839"/>
    <w:rsid w:val="5F322E6A"/>
    <w:rsid w:val="5F48643D"/>
    <w:rsid w:val="5F681458"/>
    <w:rsid w:val="5F70397D"/>
    <w:rsid w:val="5F7B6A51"/>
    <w:rsid w:val="5FED5B59"/>
    <w:rsid w:val="60474ACC"/>
    <w:rsid w:val="60E960D6"/>
    <w:rsid w:val="610D449D"/>
    <w:rsid w:val="61A8626D"/>
    <w:rsid w:val="61DC103B"/>
    <w:rsid w:val="61ED6E73"/>
    <w:rsid w:val="621A2E10"/>
    <w:rsid w:val="622C6996"/>
    <w:rsid w:val="625D4AA7"/>
    <w:rsid w:val="627A3AD7"/>
    <w:rsid w:val="62C138F7"/>
    <w:rsid w:val="62CD6F06"/>
    <w:rsid w:val="62E0076F"/>
    <w:rsid w:val="637A117A"/>
    <w:rsid w:val="63FA2071"/>
    <w:rsid w:val="645169D6"/>
    <w:rsid w:val="64A509D2"/>
    <w:rsid w:val="64AC53B9"/>
    <w:rsid w:val="659E5D34"/>
    <w:rsid w:val="65A508EA"/>
    <w:rsid w:val="65B51030"/>
    <w:rsid w:val="65E47D84"/>
    <w:rsid w:val="65F3137D"/>
    <w:rsid w:val="66705A8B"/>
    <w:rsid w:val="66D05F99"/>
    <w:rsid w:val="677B4D6D"/>
    <w:rsid w:val="67890595"/>
    <w:rsid w:val="67F17F16"/>
    <w:rsid w:val="68027A31"/>
    <w:rsid w:val="682E6058"/>
    <w:rsid w:val="684707FD"/>
    <w:rsid w:val="68EA2A24"/>
    <w:rsid w:val="691947EE"/>
    <w:rsid w:val="69342C4B"/>
    <w:rsid w:val="695642E6"/>
    <w:rsid w:val="697664F9"/>
    <w:rsid w:val="697E206D"/>
    <w:rsid w:val="69A1383F"/>
    <w:rsid w:val="6A6618CB"/>
    <w:rsid w:val="6A6865BD"/>
    <w:rsid w:val="6AC81EDB"/>
    <w:rsid w:val="6ACB1A23"/>
    <w:rsid w:val="6AEF514B"/>
    <w:rsid w:val="6AFF0F19"/>
    <w:rsid w:val="6B1350A7"/>
    <w:rsid w:val="6BE72D14"/>
    <w:rsid w:val="6C5B5648"/>
    <w:rsid w:val="6C667CB3"/>
    <w:rsid w:val="6C705ED9"/>
    <w:rsid w:val="6CA8009A"/>
    <w:rsid w:val="6CCC5C32"/>
    <w:rsid w:val="6D0F5A7E"/>
    <w:rsid w:val="6D896A50"/>
    <w:rsid w:val="6DA12415"/>
    <w:rsid w:val="6DDD0E54"/>
    <w:rsid w:val="6E2247FA"/>
    <w:rsid w:val="6E293198"/>
    <w:rsid w:val="6E391A7C"/>
    <w:rsid w:val="6E493D77"/>
    <w:rsid w:val="6E580071"/>
    <w:rsid w:val="6E8718E7"/>
    <w:rsid w:val="6E9F7B70"/>
    <w:rsid w:val="6EA142D1"/>
    <w:rsid w:val="6F594BB0"/>
    <w:rsid w:val="6FE7432E"/>
    <w:rsid w:val="6FEC1B2B"/>
    <w:rsid w:val="70137E9A"/>
    <w:rsid w:val="70AD1891"/>
    <w:rsid w:val="70D90E6C"/>
    <w:rsid w:val="70DD1D2F"/>
    <w:rsid w:val="70EC1A12"/>
    <w:rsid w:val="71444431"/>
    <w:rsid w:val="72275323"/>
    <w:rsid w:val="722828EB"/>
    <w:rsid w:val="727E34D0"/>
    <w:rsid w:val="7283604E"/>
    <w:rsid w:val="72B37C59"/>
    <w:rsid w:val="733558C0"/>
    <w:rsid w:val="7337432F"/>
    <w:rsid w:val="73710C2A"/>
    <w:rsid w:val="73894D9F"/>
    <w:rsid w:val="73A95017"/>
    <w:rsid w:val="73B049DC"/>
    <w:rsid w:val="73FE4097"/>
    <w:rsid w:val="745635BC"/>
    <w:rsid w:val="74947B06"/>
    <w:rsid w:val="74BA2FA9"/>
    <w:rsid w:val="74D0462F"/>
    <w:rsid w:val="74D85912"/>
    <w:rsid w:val="74E92A5E"/>
    <w:rsid w:val="7520390F"/>
    <w:rsid w:val="75F148E3"/>
    <w:rsid w:val="76030385"/>
    <w:rsid w:val="76620667"/>
    <w:rsid w:val="76A851C5"/>
    <w:rsid w:val="76C74804"/>
    <w:rsid w:val="76F60D92"/>
    <w:rsid w:val="76F818CE"/>
    <w:rsid w:val="76FC2629"/>
    <w:rsid w:val="770E2025"/>
    <w:rsid w:val="77145F8F"/>
    <w:rsid w:val="777B4437"/>
    <w:rsid w:val="77DE548A"/>
    <w:rsid w:val="77E67DC2"/>
    <w:rsid w:val="781551D4"/>
    <w:rsid w:val="782940CF"/>
    <w:rsid w:val="7857333D"/>
    <w:rsid w:val="78A2377D"/>
    <w:rsid w:val="78A47AE3"/>
    <w:rsid w:val="78D20882"/>
    <w:rsid w:val="796205DC"/>
    <w:rsid w:val="79802846"/>
    <w:rsid w:val="79933C4D"/>
    <w:rsid w:val="79BE713A"/>
    <w:rsid w:val="79E20BD3"/>
    <w:rsid w:val="79ED5489"/>
    <w:rsid w:val="7A012A72"/>
    <w:rsid w:val="7A0C25E9"/>
    <w:rsid w:val="7A2D1AE3"/>
    <w:rsid w:val="7A382590"/>
    <w:rsid w:val="7A6440E1"/>
    <w:rsid w:val="7A8E30CB"/>
    <w:rsid w:val="7A906924"/>
    <w:rsid w:val="7ABC6B39"/>
    <w:rsid w:val="7AC607B2"/>
    <w:rsid w:val="7AF91B92"/>
    <w:rsid w:val="7B62602F"/>
    <w:rsid w:val="7C1938A4"/>
    <w:rsid w:val="7C317C2C"/>
    <w:rsid w:val="7C571D6A"/>
    <w:rsid w:val="7C924FF6"/>
    <w:rsid w:val="7D3A7C48"/>
    <w:rsid w:val="7D3D56C2"/>
    <w:rsid w:val="7DC95D9C"/>
    <w:rsid w:val="7DED0FFF"/>
    <w:rsid w:val="7E206B04"/>
    <w:rsid w:val="7E426E7D"/>
    <w:rsid w:val="7E8E3FF9"/>
    <w:rsid w:val="7EA218BA"/>
    <w:rsid w:val="7EB648FF"/>
    <w:rsid w:val="7F0C20D2"/>
    <w:rsid w:val="7F7152BA"/>
    <w:rsid w:val="7F871D6A"/>
    <w:rsid w:val="7F914445"/>
    <w:rsid w:val="7FEB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qFormat="1"/>
    <w:lsdException w:name="annotation text" w:uiPriority="0" w:unhideWhenUsed="1" w:qFormat="1"/>
    <w:lsdException w:name="header" w:uiPriority="0" w:qFormat="1"/>
    <w:lsdException w:name="footer" w:uiPriority="0"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adjustRightInd w:val="0"/>
      <w:spacing w:before="340" w:after="330" w:line="578" w:lineRule="atLeast"/>
      <w:textAlignment w:val="baseline"/>
      <w:outlineLvl w:val="0"/>
    </w:pPr>
    <w:rPr>
      <w:rFonts w:ascii="Times New Roman" w:eastAsia="黑体" w:hAnsi="Times New Roman" w:cs="Times New Roman"/>
      <w:kern w:val="44"/>
      <w:sz w:val="44"/>
      <w:szCs w:val="20"/>
      <w:lang w:val="zh-CN"/>
    </w:rPr>
  </w:style>
  <w:style w:type="paragraph" w:styleId="20">
    <w:name w:val="heading 2"/>
    <w:basedOn w:val="a0"/>
    <w:next w:val="a1"/>
    <w:link w:val="2Char"/>
    <w:qFormat/>
    <w:pPr>
      <w:keepNext/>
      <w:keepLines/>
      <w:adjustRightInd w:val="0"/>
      <w:snapToGrid w:val="0"/>
      <w:spacing w:line="360" w:lineRule="auto"/>
      <w:ind w:firstLineChars="200" w:firstLine="602"/>
      <w:jc w:val="left"/>
      <w:outlineLvl w:val="1"/>
    </w:pPr>
    <w:rPr>
      <w:rFonts w:ascii="Arial" w:eastAsia="宋体" w:hAnsi="Arial" w:cs="Times New Roman"/>
      <w:sz w:val="24"/>
      <w:szCs w:val="20"/>
    </w:rPr>
  </w:style>
  <w:style w:type="paragraph" w:styleId="3">
    <w:name w:val="heading 3"/>
    <w:basedOn w:val="a0"/>
    <w:next w:val="a1"/>
    <w:link w:val="3Char"/>
    <w:qFormat/>
    <w:pPr>
      <w:keepNext/>
      <w:keepLines/>
      <w:adjustRightInd w:val="0"/>
      <w:snapToGrid w:val="0"/>
      <w:spacing w:line="360" w:lineRule="auto"/>
      <w:ind w:firstLineChars="200" w:firstLine="602"/>
      <w:outlineLvl w:val="2"/>
    </w:pPr>
    <w:rPr>
      <w:rFonts w:ascii="Times New Roman" w:eastAsia="宋体" w:hAnsi="Times New Roman" w:cs="Times New Roman"/>
      <w:sz w:val="24"/>
      <w:szCs w:val="20"/>
    </w:rPr>
  </w:style>
  <w:style w:type="paragraph" w:styleId="4">
    <w:name w:val="heading 4"/>
    <w:basedOn w:val="a0"/>
    <w:next w:val="a1"/>
    <w:link w:val="4Char"/>
    <w:qFormat/>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0"/>
    <w:link w:val="5Char"/>
    <w:qFormat/>
    <w:pPr>
      <w:keepNext/>
      <w:autoSpaceDE w:val="0"/>
      <w:autoSpaceDN w:val="0"/>
      <w:adjustRightInd w:val="0"/>
      <w:jc w:val="center"/>
      <w:outlineLvl w:val="4"/>
    </w:pPr>
    <w:rPr>
      <w:rFonts w:ascii="Arial" w:eastAsia="宋体" w:hAnsi="Arial" w:cs="Times New Roman"/>
      <w:b/>
      <w:color w:val="FFFFFF"/>
      <w:sz w:val="20"/>
      <w:szCs w:val="20"/>
    </w:rPr>
  </w:style>
  <w:style w:type="paragraph" w:styleId="6">
    <w:name w:val="heading 6"/>
    <w:basedOn w:val="a0"/>
    <w:next w:val="a0"/>
    <w:link w:val="6Char"/>
    <w:qFormat/>
    <w:pPr>
      <w:keepNext/>
      <w:autoSpaceDE w:val="0"/>
      <w:autoSpaceDN w:val="0"/>
      <w:adjustRightInd w:val="0"/>
      <w:jc w:val="center"/>
      <w:outlineLvl w:val="5"/>
    </w:pPr>
    <w:rPr>
      <w:rFonts w:ascii="Times New Roman" w:eastAsia="宋体" w:hAnsi="Times New Roman" w:cs="Times New Roman"/>
      <w:b/>
      <w:color w:val="FFFFFF"/>
      <w:sz w:val="24"/>
      <w:szCs w:val="20"/>
    </w:rPr>
  </w:style>
  <w:style w:type="paragraph" w:styleId="7">
    <w:name w:val="heading 7"/>
    <w:basedOn w:val="a0"/>
    <w:next w:val="a0"/>
    <w:link w:val="7Char"/>
    <w:qFormat/>
    <w:pPr>
      <w:keepNext/>
      <w:autoSpaceDE w:val="0"/>
      <w:autoSpaceDN w:val="0"/>
      <w:adjustRightInd w:val="0"/>
      <w:spacing w:line="240" w:lineRule="exact"/>
      <w:outlineLvl w:val="6"/>
    </w:pPr>
    <w:rPr>
      <w:rFonts w:ascii="Times New Roman" w:eastAsia="宋体" w:hAnsi="Times New Roman" w:cs="Times New Roman"/>
      <w:b/>
      <w:color w:val="008080"/>
      <w:sz w:val="18"/>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0"/>
    <w:next w:val="a0"/>
    <w:link w:val="9Char"/>
    <w:qFormat/>
    <w:pPr>
      <w:keepNext/>
      <w:keepLines/>
      <w:numPr>
        <w:numId w:val="1"/>
      </w:numPr>
      <w:tabs>
        <w:tab w:val="left" w:pos="720"/>
        <w:tab w:val="left" w:pos="10440"/>
      </w:tabs>
      <w:autoSpaceDE w:val="0"/>
      <w:autoSpaceDN w:val="0"/>
      <w:adjustRightInd w:val="0"/>
      <w:snapToGrid w:val="0"/>
      <w:spacing w:before="60" w:after="60" w:line="240" w:lineRule="atLeast"/>
      <w:jc w:val="center"/>
      <w:textAlignment w:val="bottom"/>
      <w:outlineLvl w:val="8"/>
    </w:pPr>
    <w:rPr>
      <w:rFonts w:ascii="Arial" w:eastAsia="仿宋_GB2312" w:hAnsi="Arial" w:cs="Times New Roman"/>
      <w:color w:val="000000"/>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rFonts w:ascii="Times New Roman" w:eastAsia="宋体" w:hAnsi="Times New Roman" w:cs="Times New Roman"/>
      <w:sz w:val="24"/>
      <w:szCs w:val="20"/>
      <w:lang w:val="zh-CN"/>
    </w:rPr>
  </w:style>
  <w:style w:type="paragraph" w:styleId="70">
    <w:name w:val="toc 7"/>
    <w:basedOn w:val="a0"/>
    <w:next w:val="a0"/>
    <w:semiHidden/>
    <w:qFormat/>
    <w:pPr>
      <w:ind w:left="2520"/>
    </w:pPr>
    <w:rPr>
      <w:rFonts w:ascii="Times New Roman" w:eastAsia="宋体" w:hAnsi="Times New Roman" w:cs="Times New Roman"/>
      <w:szCs w:val="20"/>
    </w:rPr>
  </w:style>
  <w:style w:type="paragraph" w:styleId="80">
    <w:name w:val="index 8"/>
    <w:basedOn w:val="a0"/>
    <w:next w:val="a0"/>
    <w:semiHidden/>
    <w:qFormat/>
    <w:pPr>
      <w:ind w:left="2940"/>
    </w:pPr>
    <w:rPr>
      <w:rFonts w:ascii="Times New Roman" w:eastAsia="宋体" w:hAnsi="Times New Roman" w:cs="Times New Roman"/>
      <w:sz w:val="24"/>
      <w:szCs w:val="20"/>
    </w:rPr>
  </w:style>
  <w:style w:type="paragraph" w:styleId="a5">
    <w:name w:val="caption"/>
    <w:basedOn w:val="a0"/>
    <w:next w:val="a0"/>
    <w:qFormat/>
    <w:rPr>
      <w:rFonts w:ascii="Cambria" w:eastAsia="黑体" w:hAnsi="Cambria" w:cs="Times New Roman"/>
      <w:sz w:val="20"/>
      <w:szCs w:val="20"/>
    </w:rPr>
  </w:style>
  <w:style w:type="paragraph" w:styleId="50">
    <w:name w:val="index 5"/>
    <w:basedOn w:val="a0"/>
    <w:next w:val="a0"/>
    <w:semiHidden/>
    <w:qFormat/>
    <w:pPr>
      <w:ind w:left="1680"/>
    </w:pPr>
    <w:rPr>
      <w:rFonts w:ascii="Times New Roman" w:eastAsia="宋体" w:hAnsi="Times New Roman" w:cs="Times New Roman"/>
      <w:sz w:val="24"/>
      <w:szCs w:val="20"/>
    </w:rPr>
  </w:style>
  <w:style w:type="paragraph" w:styleId="a6">
    <w:name w:val="List Bullet"/>
    <w:basedOn w:val="a0"/>
    <w:link w:val="Char0"/>
    <w:qFormat/>
    <w:pPr>
      <w:tabs>
        <w:tab w:val="left" w:pos="420"/>
      </w:tabs>
      <w:ind w:left="420" w:hanging="420"/>
    </w:pPr>
    <w:rPr>
      <w:szCs w:val="24"/>
    </w:rPr>
  </w:style>
  <w:style w:type="paragraph" w:styleId="a7">
    <w:name w:val="Document Map"/>
    <w:basedOn w:val="a0"/>
    <w:link w:val="Char1"/>
    <w:qFormat/>
    <w:pPr>
      <w:shd w:val="clear" w:color="auto" w:fill="000080"/>
    </w:pPr>
    <w:rPr>
      <w:rFonts w:ascii="Times New Roman" w:eastAsia="宋体" w:hAnsi="Times New Roman" w:cs="Times New Roman"/>
      <w:szCs w:val="20"/>
    </w:rPr>
  </w:style>
  <w:style w:type="paragraph" w:styleId="a8">
    <w:name w:val="toa heading"/>
    <w:basedOn w:val="a0"/>
    <w:next w:val="a0"/>
    <w:qFormat/>
    <w:pPr>
      <w:spacing w:before="120"/>
    </w:pPr>
    <w:rPr>
      <w:rFonts w:ascii="Arial" w:eastAsia="宋体" w:hAnsi="Arial" w:cs="Times New Roman"/>
      <w:sz w:val="24"/>
      <w:szCs w:val="20"/>
    </w:rPr>
  </w:style>
  <w:style w:type="paragraph" w:styleId="a9">
    <w:name w:val="annotation text"/>
    <w:basedOn w:val="a0"/>
    <w:link w:val="Char2"/>
    <w:unhideWhenUsed/>
    <w:qFormat/>
    <w:pPr>
      <w:jc w:val="left"/>
    </w:pPr>
  </w:style>
  <w:style w:type="paragraph" w:styleId="60">
    <w:name w:val="index 6"/>
    <w:basedOn w:val="a0"/>
    <w:next w:val="a0"/>
    <w:semiHidden/>
    <w:qFormat/>
    <w:pPr>
      <w:ind w:left="2100"/>
    </w:pPr>
    <w:rPr>
      <w:rFonts w:ascii="Times New Roman" w:eastAsia="宋体" w:hAnsi="Times New Roman" w:cs="Times New Roman"/>
      <w:sz w:val="24"/>
      <w:szCs w:val="20"/>
    </w:rPr>
  </w:style>
  <w:style w:type="paragraph" w:styleId="30">
    <w:name w:val="Body Text 3"/>
    <w:basedOn w:val="a0"/>
    <w:link w:val="3Char0"/>
    <w:qFormat/>
    <w:pPr>
      <w:spacing w:line="360" w:lineRule="auto"/>
      <w:jc w:val="left"/>
    </w:pPr>
    <w:rPr>
      <w:rFonts w:ascii="宋体" w:eastAsia="宋体" w:hAnsi="宋体" w:cs="Times New Roman"/>
      <w:sz w:val="20"/>
      <w:szCs w:val="20"/>
    </w:rPr>
  </w:style>
  <w:style w:type="paragraph" w:styleId="aa">
    <w:name w:val="Body Text"/>
    <w:basedOn w:val="a0"/>
    <w:link w:val="Char20"/>
    <w:qFormat/>
    <w:pPr>
      <w:widowControl/>
      <w:jc w:val="left"/>
    </w:pPr>
    <w:rPr>
      <w:rFonts w:ascii="Times New Roman" w:eastAsia="宋体" w:hAnsi="Times New Roman" w:cs="Times New Roman"/>
      <w:kern w:val="0"/>
      <w:sz w:val="30"/>
      <w:szCs w:val="20"/>
    </w:rPr>
  </w:style>
  <w:style w:type="paragraph" w:styleId="ab">
    <w:name w:val="Body Text Indent"/>
    <w:basedOn w:val="a0"/>
    <w:link w:val="Char21"/>
    <w:qFormat/>
    <w:pPr>
      <w:adjustRightInd w:val="0"/>
      <w:spacing w:line="312" w:lineRule="atLeast"/>
      <w:ind w:firstLine="630"/>
      <w:textAlignment w:val="baseline"/>
    </w:pPr>
    <w:rPr>
      <w:rFonts w:ascii="Times New Roman" w:eastAsia="楷体_GB2312" w:hAnsi="Times New Roman" w:cs="Times New Roman"/>
      <w:b/>
      <w:kern w:val="0"/>
      <w:sz w:val="28"/>
      <w:szCs w:val="20"/>
    </w:rPr>
  </w:style>
  <w:style w:type="paragraph" w:styleId="21">
    <w:name w:val="List 2"/>
    <w:basedOn w:val="a0"/>
    <w:qFormat/>
    <w:pPr>
      <w:ind w:leftChars="200" w:left="100" w:hangingChars="200" w:hanging="200"/>
    </w:pPr>
    <w:rPr>
      <w:rFonts w:ascii="Times New Roman" w:eastAsia="宋体" w:hAnsi="Times New Roman" w:cs="Times New Roman"/>
      <w:szCs w:val="24"/>
    </w:rPr>
  </w:style>
  <w:style w:type="paragraph" w:styleId="ac">
    <w:name w:val="List Continue"/>
    <w:basedOn w:val="a0"/>
    <w:qFormat/>
    <w:pPr>
      <w:spacing w:after="120"/>
      <w:ind w:leftChars="200" w:left="420"/>
    </w:pPr>
    <w:rPr>
      <w:rFonts w:ascii="Times New Roman" w:eastAsia="宋体" w:hAnsi="Times New Roman" w:cs="Times New Roman"/>
      <w:szCs w:val="24"/>
    </w:rPr>
  </w:style>
  <w:style w:type="paragraph" w:styleId="ad">
    <w:name w:val="Block Text"/>
    <w:basedOn w:val="a0"/>
    <w:qFormat/>
    <w:pPr>
      <w:snapToGrid w:val="0"/>
      <w:spacing w:line="276" w:lineRule="auto"/>
      <w:ind w:left="900" w:right="926"/>
      <w:jc w:val="center"/>
    </w:pPr>
    <w:rPr>
      <w:rFonts w:ascii="Times New Roman" w:eastAsia="仿宋_GB2312" w:hAnsi="Times New Roman" w:cs="Times New Roman"/>
      <w:b/>
      <w:sz w:val="28"/>
      <w:szCs w:val="20"/>
    </w:rPr>
  </w:style>
  <w:style w:type="paragraph" w:styleId="2">
    <w:name w:val="List Bullet 2"/>
    <w:basedOn w:val="a0"/>
    <w:qFormat/>
    <w:pPr>
      <w:numPr>
        <w:numId w:val="2"/>
      </w:numPr>
      <w:tabs>
        <w:tab w:val="left" w:pos="780"/>
      </w:tabs>
    </w:pPr>
    <w:rPr>
      <w:rFonts w:ascii="Times New Roman" w:eastAsia="宋体" w:hAnsi="Times New Roman" w:cs="Times New Roman"/>
      <w:szCs w:val="20"/>
    </w:rPr>
  </w:style>
  <w:style w:type="paragraph" w:styleId="40">
    <w:name w:val="index 4"/>
    <w:basedOn w:val="a0"/>
    <w:next w:val="a0"/>
    <w:semiHidden/>
    <w:qFormat/>
    <w:pPr>
      <w:ind w:left="1260"/>
    </w:pPr>
    <w:rPr>
      <w:rFonts w:ascii="Times New Roman" w:eastAsia="宋体" w:hAnsi="Times New Roman" w:cs="Times New Roman"/>
      <w:sz w:val="24"/>
      <w:szCs w:val="20"/>
    </w:rPr>
  </w:style>
  <w:style w:type="paragraph" w:styleId="51">
    <w:name w:val="toc 5"/>
    <w:basedOn w:val="a0"/>
    <w:next w:val="a0"/>
    <w:semiHidden/>
    <w:qFormat/>
    <w:pPr>
      <w:ind w:left="1680"/>
    </w:pPr>
    <w:rPr>
      <w:rFonts w:ascii="Times New Roman" w:eastAsia="宋体" w:hAnsi="Times New Roman" w:cs="Times New Roman"/>
      <w:szCs w:val="20"/>
    </w:rPr>
  </w:style>
  <w:style w:type="paragraph" w:styleId="31">
    <w:name w:val="toc 3"/>
    <w:basedOn w:val="a0"/>
    <w:next w:val="a0"/>
    <w:uiPriority w:val="39"/>
    <w:qFormat/>
    <w:pPr>
      <w:ind w:left="840"/>
    </w:pPr>
    <w:rPr>
      <w:rFonts w:ascii="Times New Roman" w:eastAsia="宋体" w:hAnsi="Times New Roman" w:cs="Times New Roman"/>
      <w:sz w:val="24"/>
      <w:szCs w:val="20"/>
    </w:rPr>
  </w:style>
  <w:style w:type="paragraph" w:styleId="ae">
    <w:name w:val="Plain Text"/>
    <w:basedOn w:val="a0"/>
    <w:link w:val="Char3"/>
    <w:qFormat/>
    <w:rPr>
      <w:rFonts w:ascii="宋体" w:eastAsia="宋体" w:hAnsi="Courier New" w:cs="Times New Roman"/>
      <w:sz w:val="24"/>
      <w:szCs w:val="20"/>
    </w:rPr>
  </w:style>
  <w:style w:type="paragraph" w:styleId="81">
    <w:name w:val="toc 8"/>
    <w:basedOn w:val="a0"/>
    <w:next w:val="a0"/>
    <w:semiHidden/>
    <w:qFormat/>
    <w:pPr>
      <w:ind w:left="2940"/>
    </w:pPr>
    <w:rPr>
      <w:rFonts w:ascii="Times New Roman" w:eastAsia="宋体" w:hAnsi="Times New Roman" w:cs="Times New Roman"/>
      <w:szCs w:val="20"/>
    </w:rPr>
  </w:style>
  <w:style w:type="paragraph" w:styleId="32">
    <w:name w:val="index 3"/>
    <w:basedOn w:val="a0"/>
    <w:next w:val="a0"/>
    <w:semiHidden/>
    <w:qFormat/>
    <w:pPr>
      <w:ind w:left="840"/>
    </w:pPr>
    <w:rPr>
      <w:rFonts w:ascii="Times New Roman" w:eastAsia="宋体" w:hAnsi="Times New Roman" w:cs="Times New Roman"/>
      <w:sz w:val="24"/>
      <w:szCs w:val="20"/>
    </w:rPr>
  </w:style>
  <w:style w:type="paragraph" w:styleId="af">
    <w:name w:val="Date"/>
    <w:basedOn w:val="a0"/>
    <w:next w:val="a0"/>
    <w:link w:val="Char4"/>
    <w:qFormat/>
    <w:pPr>
      <w:ind w:leftChars="2500" w:left="100"/>
    </w:pPr>
    <w:rPr>
      <w:rFonts w:ascii="黑体" w:eastAsia="黑体" w:hAnsi="Times New Roman" w:cs="Times New Roman"/>
      <w:sz w:val="32"/>
      <w:szCs w:val="20"/>
    </w:rPr>
  </w:style>
  <w:style w:type="paragraph" w:styleId="22">
    <w:name w:val="Body Text Indent 2"/>
    <w:basedOn w:val="a0"/>
    <w:link w:val="2Char0"/>
    <w:qFormat/>
    <w:pPr>
      <w:spacing w:line="360" w:lineRule="auto"/>
      <w:ind w:firstLine="539"/>
    </w:pPr>
    <w:rPr>
      <w:rFonts w:ascii="宋体" w:eastAsia="宋体" w:hAnsi="Times New Roman" w:cs="Times New Roman"/>
      <w:sz w:val="24"/>
      <w:szCs w:val="20"/>
    </w:rPr>
  </w:style>
  <w:style w:type="paragraph" w:styleId="af0">
    <w:name w:val="Balloon Text"/>
    <w:basedOn w:val="a0"/>
    <w:link w:val="Char5"/>
    <w:semiHidden/>
    <w:qFormat/>
    <w:rPr>
      <w:rFonts w:ascii="Times New Roman" w:eastAsia="宋体" w:hAnsi="Times New Roman" w:cs="Times New Roman"/>
      <w:sz w:val="18"/>
      <w:szCs w:val="18"/>
    </w:rPr>
  </w:style>
  <w:style w:type="paragraph" w:styleId="af1">
    <w:name w:val="footer"/>
    <w:basedOn w:val="a0"/>
    <w:link w:val="Char6"/>
    <w:qFormat/>
    <w:pPr>
      <w:tabs>
        <w:tab w:val="center" w:pos="4153"/>
        <w:tab w:val="right" w:pos="8306"/>
      </w:tabs>
      <w:snapToGrid w:val="0"/>
      <w:jc w:val="left"/>
    </w:pPr>
    <w:rPr>
      <w:rFonts w:ascii="Times New Roman" w:eastAsia="宋体" w:hAnsi="Times New Roman" w:cs="Times New Roman"/>
      <w:sz w:val="18"/>
      <w:szCs w:val="20"/>
      <w:lang w:val="zh-CN"/>
    </w:rPr>
  </w:style>
  <w:style w:type="paragraph" w:styleId="af2">
    <w:name w:val="header"/>
    <w:basedOn w:val="a0"/>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af3">
    <w:name w:val="Signature"/>
    <w:basedOn w:val="a0"/>
    <w:link w:val="Char8"/>
    <w:qFormat/>
    <w:pPr>
      <w:ind w:leftChars="2100" w:left="100"/>
    </w:pPr>
    <w:rPr>
      <w:szCs w:val="24"/>
    </w:rPr>
  </w:style>
  <w:style w:type="paragraph" w:styleId="10">
    <w:name w:val="toc 1"/>
    <w:basedOn w:val="a0"/>
    <w:next w:val="a0"/>
    <w:uiPriority w:val="39"/>
    <w:qFormat/>
    <w:rPr>
      <w:rFonts w:ascii="Times New Roman" w:eastAsia="宋体" w:hAnsi="Times New Roman" w:cs="Times New Roman"/>
      <w:szCs w:val="20"/>
    </w:rPr>
  </w:style>
  <w:style w:type="paragraph" w:styleId="41">
    <w:name w:val="toc 4"/>
    <w:basedOn w:val="a0"/>
    <w:next w:val="a0"/>
    <w:semiHidden/>
    <w:qFormat/>
    <w:pPr>
      <w:ind w:left="1260"/>
    </w:pPr>
    <w:rPr>
      <w:rFonts w:ascii="Times New Roman" w:eastAsia="宋体" w:hAnsi="Times New Roman" w:cs="Times New Roman"/>
      <w:szCs w:val="20"/>
    </w:rPr>
  </w:style>
  <w:style w:type="paragraph" w:styleId="af4">
    <w:name w:val="index heading"/>
    <w:basedOn w:val="a0"/>
    <w:next w:val="11"/>
    <w:semiHidden/>
    <w:qFormat/>
    <w:rPr>
      <w:rFonts w:ascii="Times New Roman" w:eastAsia="宋体" w:hAnsi="Times New Roman" w:cs="Times New Roman"/>
      <w:sz w:val="24"/>
      <w:szCs w:val="20"/>
    </w:rPr>
  </w:style>
  <w:style w:type="paragraph" w:styleId="11">
    <w:name w:val="index 1"/>
    <w:basedOn w:val="a0"/>
    <w:next w:val="a0"/>
    <w:unhideWhenUsed/>
    <w:qFormat/>
  </w:style>
  <w:style w:type="paragraph" w:styleId="af5">
    <w:name w:val="List"/>
    <w:basedOn w:val="a0"/>
    <w:qFormat/>
    <w:pPr>
      <w:widowControl/>
      <w:ind w:left="283" w:hanging="283"/>
      <w:jc w:val="left"/>
    </w:pPr>
    <w:rPr>
      <w:rFonts w:ascii="Times New Roman" w:eastAsia="宋体" w:hAnsi="Times New Roman" w:cs="Times New Roman"/>
      <w:kern w:val="0"/>
      <w:sz w:val="20"/>
      <w:szCs w:val="20"/>
    </w:rPr>
  </w:style>
  <w:style w:type="paragraph" w:styleId="af6">
    <w:name w:val="footnote text"/>
    <w:basedOn w:val="a0"/>
    <w:link w:val="Char9"/>
    <w:uiPriority w:val="99"/>
    <w:qFormat/>
    <w:pPr>
      <w:snapToGrid w:val="0"/>
      <w:jc w:val="left"/>
    </w:pPr>
    <w:rPr>
      <w:rFonts w:ascii="Times New Roman" w:eastAsia="宋体" w:hAnsi="Times New Roman" w:cs="Times New Roman"/>
      <w:sz w:val="18"/>
      <w:szCs w:val="20"/>
    </w:rPr>
  </w:style>
  <w:style w:type="paragraph" w:styleId="61">
    <w:name w:val="toc 6"/>
    <w:basedOn w:val="a0"/>
    <w:next w:val="a0"/>
    <w:semiHidden/>
    <w:qFormat/>
    <w:pPr>
      <w:ind w:left="2100"/>
    </w:pPr>
    <w:rPr>
      <w:rFonts w:ascii="Times New Roman" w:eastAsia="宋体" w:hAnsi="Times New Roman" w:cs="Times New Roman"/>
      <w:szCs w:val="20"/>
    </w:rPr>
  </w:style>
  <w:style w:type="paragraph" w:styleId="33">
    <w:name w:val="Body Text Indent 3"/>
    <w:basedOn w:val="a0"/>
    <w:link w:val="3Char1"/>
    <w:qFormat/>
    <w:pPr>
      <w:ind w:firstLine="560"/>
    </w:pPr>
    <w:rPr>
      <w:rFonts w:ascii="宋体" w:eastAsia="宋体" w:hAnsi="Times New Roman" w:cs="Times New Roman"/>
      <w:sz w:val="24"/>
      <w:szCs w:val="20"/>
    </w:rPr>
  </w:style>
  <w:style w:type="paragraph" w:styleId="71">
    <w:name w:val="index 7"/>
    <w:basedOn w:val="a0"/>
    <w:next w:val="a0"/>
    <w:semiHidden/>
    <w:qFormat/>
    <w:pPr>
      <w:ind w:left="2520"/>
    </w:pPr>
    <w:rPr>
      <w:rFonts w:ascii="Times New Roman" w:eastAsia="宋体" w:hAnsi="Times New Roman" w:cs="Times New Roman"/>
      <w:sz w:val="24"/>
      <w:szCs w:val="20"/>
    </w:rPr>
  </w:style>
  <w:style w:type="paragraph" w:styleId="90">
    <w:name w:val="index 9"/>
    <w:basedOn w:val="a0"/>
    <w:next w:val="a0"/>
    <w:semiHidden/>
    <w:qFormat/>
    <w:pPr>
      <w:ind w:left="3360"/>
    </w:pPr>
    <w:rPr>
      <w:rFonts w:ascii="Times New Roman" w:eastAsia="宋体" w:hAnsi="Times New Roman" w:cs="Times New Roman"/>
      <w:sz w:val="24"/>
      <w:szCs w:val="20"/>
    </w:rPr>
  </w:style>
  <w:style w:type="paragraph" w:styleId="23">
    <w:name w:val="toc 2"/>
    <w:basedOn w:val="a0"/>
    <w:next w:val="a0"/>
    <w:uiPriority w:val="39"/>
    <w:qFormat/>
    <w:pPr>
      <w:ind w:left="420"/>
    </w:pPr>
    <w:rPr>
      <w:rFonts w:ascii="Times New Roman" w:eastAsia="宋体" w:hAnsi="Times New Roman" w:cs="Times New Roman"/>
      <w:sz w:val="24"/>
      <w:szCs w:val="20"/>
    </w:rPr>
  </w:style>
  <w:style w:type="paragraph" w:styleId="91">
    <w:name w:val="toc 9"/>
    <w:basedOn w:val="a0"/>
    <w:next w:val="a0"/>
    <w:semiHidden/>
    <w:qFormat/>
    <w:pPr>
      <w:ind w:left="3360"/>
    </w:pPr>
    <w:rPr>
      <w:rFonts w:ascii="Times New Roman" w:eastAsia="宋体" w:hAnsi="Times New Roman" w:cs="Times New Roman"/>
      <w:szCs w:val="20"/>
    </w:rPr>
  </w:style>
  <w:style w:type="paragraph" w:styleId="24">
    <w:name w:val="Body Text 2"/>
    <w:basedOn w:val="a0"/>
    <w:link w:val="2Char1"/>
    <w:qFormat/>
    <w:pPr>
      <w:spacing w:line="360" w:lineRule="auto"/>
    </w:pPr>
    <w:rPr>
      <w:rFonts w:ascii="宋体" w:eastAsia="宋体" w:hAnsi="宋体" w:cs="Times New Roman"/>
      <w:color w:val="FF0000"/>
      <w:sz w:val="24"/>
      <w:szCs w:val="20"/>
    </w:rPr>
  </w:style>
  <w:style w:type="paragraph" w:styleId="25">
    <w:name w:val="List Continue 2"/>
    <w:basedOn w:val="a0"/>
    <w:qFormat/>
    <w:pPr>
      <w:spacing w:after="120"/>
      <w:ind w:leftChars="400" w:left="840"/>
    </w:pPr>
    <w:rPr>
      <w:rFonts w:ascii="Times New Roman" w:eastAsia="宋体" w:hAnsi="Times New Roman" w:cs="Times New Roman"/>
      <w:szCs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7">
    <w:name w:val="Normal (Web)"/>
    <w:basedOn w:val="a0"/>
    <w:link w:val="Chara"/>
    <w:qFormat/>
    <w:pPr>
      <w:widowControl/>
      <w:spacing w:before="100" w:beforeAutospacing="1" w:after="100" w:afterAutospacing="1"/>
      <w:jc w:val="left"/>
    </w:pPr>
    <w:rPr>
      <w:rFonts w:ascii="宋体" w:eastAsia="宋体" w:hAnsi="宋体" w:cs="Times New Roman"/>
      <w:color w:val="0A043D"/>
      <w:kern w:val="0"/>
      <w:sz w:val="24"/>
      <w:szCs w:val="24"/>
    </w:rPr>
  </w:style>
  <w:style w:type="paragraph" w:styleId="26">
    <w:name w:val="index 2"/>
    <w:basedOn w:val="a0"/>
    <w:next w:val="a0"/>
    <w:semiHidden/>
    <w:qFormat/>
    <w:pPr>
      <w:ind w:left="420"/>
    </w:pPr>
    <w:rPr>
      <w:rFonts w:ascii="Times New Roman" w:eastAsia="宋体" w:hAnsi="Times New Roman" w:cs="Times New Roman"/>
      <w:sz w:val="24"/>
      <w:szCs w:val="20"/>
    </w:rPr>
  </w:style>
  <w:style w:type="paragraph" w:styleId="af8">
    <w:name w:val="Title"/>
    <w:basedOn w:val="a0"/>
    <w:next w:val="a0"/>
    <w:link w:val="Charb"/>
    <w:qFormat/>
    <w:pPr>
      <w:spacing w:before="240" w:after="60"/>
      <w:jc w:val="center"/>
      <w:outlineLvl w:val="0"/>
    </w:pPr>
    <w:rPr>
      <w:rFonts w:ascii="Cambria" w:eastAsia="宋体" w:hAnsi="Cambria" w:cs="Times New Roman"/>
      <w:b/>
      <w:bCs/>
      <w:sz w:val="32"/>
      <w:szCs w:val="32"/>
      <w:lang w:val="zh-CN"/>
    </w:rPr>
  </w:style>
  <w:style w:type="paragraph" w:styleId="af9">
    <w:name w:val="annotation subject"/>
    <w:basedOn w:val="a9"/>
    <w:next w:val="a9"/>
    <w:link w:val="Charc"/>
    <w:qFormat/>
    <w:rPr>
      <w:rFonts w:ascii="Times New Roman" w:eastAsia="宋体" w:hAnsi="Times New Roman" w:cs="Times New Roman"/>
      <w:b/>
      <w:bCs/>
      <w:szCs w:val="20"/>
    </w:rPr>
  </w:style>
  <w:style w:type="paragraph" w:styleId="afa">
    <w:name w:val="Body Text First Indent"/>
    <w:basedOn w:val="a0"/>
    <w:link w:val="Chard"/>
    <w:qFormat/>
    <w:pPr>
      <w:snapToGrid w:val="0"/>
      <w:spacing w:line="300" w:lineRule="auto"/>
      <w:ind w:firstLine="556"/>
    </w:pPr>
    <w:rPr>
      <w:rFonts w:ascii="仿宋_GB2312" w:eastAsia="仿宋_GB2312"/>
      <w:sz w:val="28"/>
    </w:rPr>
  </w:style>
  <w:style w:type="paragraph" w:styleId="27">
    <w:name w:val="Body Text First Indent 2"/>
    <w:basedOn w:val="ab"/>
    <w:link w:val="2Char2"/>
    <w:qFormat/>
    <w:pPr>
      <w:adjustRightInd/>
      <w:spacing w:after="120" w:line="240" w:lineRule="auto"/>
      <w:ind w:left="420" w:firstLine="210"/>
      <w:textAlignment w:val="auto"/>
    </w:pPr>
    <w:rPr>
      <w:rFonts w:asciiTheme="minorHAnsi" w:hAnsiTheme="minorHAnsi" w:cstheme="minorBidi"/>
      <w:b w:val="0"/>
      <w:kern w:val="2"/>
      <w:sz w:val="21"/>
      <w:szCs w:val="22"/>
    </w:rPr>
  </w:style>
  <w:style w:type="table" w:styleId="afb">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Simple 1"/>
    <w:basedOn w:val="a3"/>
    <w:qFormat/>
    <w:pPr>
      <w:widowControl w:val="0"/>
      <w:adjustRightInd w:val="0"/>
      <w:snapToGrid w:val="0"/>
      <w:jc w:val="both"/>
    </w:pPr>
    <w:rPr>
      <w:snapToGrid w:val="0"/>
    </w:rPr>
    <w:tblPr>
      <w:jc w:val="center"/>
      <w:tblInd w:w="0" w:type="dxa"/>
      <w:tblBorders>
        <w:top w:val="single" w:sz="8" w:space="0" w:color="auto"/>
        <w:bottom w:val="single" w:sz="8" w:space="0" w:color="auto"/>
        <w:insideH w:val="dotted" w:sz="4" w:space="0" w:color="auto"/>
        <w:insideV w:val="dotted" w:sz="4" w:space="0" w:color="auto"/>
      </w:tblBorders>
      <w:tblCellMar>
        <w:top w:w="0" w:type="dxa"/>
        <w:left w:w="108" w:type="dxa"/>
        <w:bottom w:w="0" w:type="dxa"/>
        <w:right w:w="108" w:type="dxa"/>
      </w:tblCellMar>
    </w:tblPr>
    <w:trPr>
      <w:jc w:val="center"/>
    </w:trPr>
    <w:tcPr>
      <w:shd w:val="clear" w:color="auto" w:fill="auto"/>
    </w:tcPr>
    <w:tblStylePr w:type="firstRow">
      <w:tblPr/>
      <w:tcPr>
        <w:tcBorders>
          <w:top w:val="single" w:sz="6" w:space="0" w:color="auto"/>
          <w:bottom w:val="single" w:sz="6" w:space="0" w:color="auto"/>
        </w:tcBorders>
        <w:shd w:val="clear" w:color="auto" w:fill="auto"/>
      </w:tcPr>
    </w:tblStylePr>
    <w:tblStylePr w:type="lastRow">
      <w:pPr>
        <w:jc w:val="center"/>
      </w:pPr>
      <w:tblPr/>
      <w:tcPr>
        <w:tcBorders>
          <w:top w:val="single" w:sz="6" w:space="0" w:color="auto"/>
        </w:tcBorders>
        <w:shd w:val="clear" w:color="auto" w:fill="auto"/>
      </w:tcPr>
    </w:tblStylePr>
  </w:style>
  <w:style w:type="character" w:styleId="afc">
    <w:name w:val="Strong"/>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rPr>
  </w:style>
  <w:style w:type="character" w:styleId="aff0">
    <w:name w:val="Hyperlink"/>
    <w:uiPriority w:val="99"/>
    <w:qFormat/>
    <w:rPr>
      <w:color w:val="0000FF"/>
      <w:u w:val="single"/>
    </w:rPr>
  </w:style>
  <w:style w:type="character" w:styleId="aff1">
    <w:name w:val="annotation reference"/>
    <w:qFormat/>
    <w:rPr>
      <w:sz w:val="21"/>
    </w:rPr>
  </w:style>
  <w:style w:type="character" w:styleId="aff2">
    <w:name w:val="footnote reference"/>
    <w:semiHidden/>
    <w:qFormat/>
    <w:rPr>
      <w:vertAlign w:val="superscript"/>
    </w:rPr>
  </w:style>
  <w:style w:type="character" w:customStyle="1" w:styleId="2Char">
    <w:name w:val="标题 2 Char"/>
    <w:link w:val="20"/>
    <w:qFormat/>
    <w:rPr>
      <w:rFonts w:ascii="Arial" w:eastAsia="宋体" w:hAnsi="Arial" w:cs="Times New Roman"/>
      <w:sz w:val="24"/>
      <w:szCs w:val="20"/>
    </w:rPr>
  </w:style>
  <w:style w:type="character" w:customStyle="1" w:styleId="3Char">
    <w:name w:val="标题 3 Char"/>
    <w:basedOn w:val="a2"/>
    <w:link w:val="3"/>
    <w:qFormat/>
    <w:rPr>
      <w:rFonts w:ascii="Times New Roman" w:eastAsia="宋体" w:hAnsi="Times New Roman" w:cs="Times New Roman"/>
      <w:sz w:val="24"/>
      <w:szCs w:val="20"/>
    </w:rPr>
  </w:style>
  <w:style w:type="character" w:customStyle="1" w:styleId="4Char">
    <w:name w:val="标题 4 Char"/>
    <w:basedOn w:val="a2"/>
    <w:link w:val="4"/>
    <w:qFormat/>
    <w:rPr>
      <w:rFonts w:ascii="Arial" w:eastAsia="黑体" w:hAnsi="Arial" w:cs="Times New Roman"/>
      <w:b/>
      <w:sz w:val="28"/>
      <w:szCs w:val="20"/>
    </w:rPr>
  </w:style>
  <w:style w:type="character" w:customStyle="1" w:styleId="13">
    <w:name w:val="标题 1 字符"/>
    <w:basedOn w:val="a2"/>
    <w:qFormat/>
    <w:rPr>
      <w:b/>
      <w:bCs/>
      <w:kern w:val="44"/>
      <w:sz w:val="44"/>
      <w:szCs w:val="44"/>
    </w:rPr>
  </w:style>
  <w:style w:type="character" w:customStyle="1" w:styleId="28">
    <w:name w:val="标题 2 字符"/>
    <w:basedOn w:val="a2"/>
    <w:qFormat/>
    <w:rPr>
      <w:rFonts w:asciiTheme="majorHAnsi" w:eastAsiaTheme="majorEastAsia" w:hAnsiTheme="majorHAnsi" w:cstheme="majorBidi"/>
      <w:b/>
      <w:bCs/>
      <w:sz w:val="32"/>
      <w:szCs w:val="32"/>
    </w:rPr>
  </w:style>
  <w:style w:type="character" w:customStyle="1" w:styleId="5Char">
    <w:name w:val="标题 5 Char"/>
    <w:basedOn w:val="a2"/>
    <w:link w:val="5"/>
    <w:qFormat/>
    <w:rPr>
      <w:rFonts w:ascii="Arial" w:eastAsia="宋体" w:hAnsi="Arial" w:cs="Times New Roman"/>
      <w:b/>
      <w:color w:val="FFFFFF"/>
      <w:sz w:val="20"/>
      <w:szCs w:val="20"/>
    </w:rPr>
  </w:style>
  <w:style w:type="character" w:customStyle="1" w:styleId="6Char">
    <w:name w:val="标题 6 Char"/>
    <w:basedOn w:val="a2"/>
    <w:link w:val="6"/>
    <w:qFormat/>
    <w:rPr>
      <w:rFonts w:ascii="Times New Roman" w:eastAsia="宋体" w:hAnsi="Times New Roman" w:cs="Times New Roman"/>
      <w:b/>
      <w:color w:val="FFFFFF"/>
      <w:sz w:val="24"/>
      <w:szCs w:val="20"/>
    </w:rPr>
  </w:style>
  <w:style w:type="character" w:customStyle="1" w:styleId="7Char">
    <w:name w:val="标题 7 Char"/>
    <w:basedOn w:val="a2"/>
    <w:link w:val="7"/>
    <w:qFormat/>
    <w:rPr>
      <w:rFonts w:ascii="Times New Roman" w:eastAsia="宋体" w:hAnsi="Times New Roman" w:cs="Times New Roman"/>
      <w:b/>
      <w:color w:val="008080"/>
      <w:sz w:val="18"/>
      <w:szCs w:val="20"/>
    </w:rPr>
  </w:style>
  <w:style w:type="character" w:customStyle="1" w:styleId="8Char">
    <w:name w:val="标题 8 Char"/>
    <w:basedOn w:val="a2"/>
    <w:link w:val="8"/>
    <w:qFormat/>
    <w:rPr>
      <w:rFonts w:ascii="Arial" w:eastAsia="黑体" w:hAnsi="Arial" w:cs="Times New Roman"/>
      <w:sz w:val="24"/>
      <w:szCs w:val="20"/>
    </w:rPr>
  </w:style>
  <w:style w:type="character" w:customStyle="1" w:styleId="9Char">
    <w:name w:val="标题 9 Char"/>
    <w:basedOn w:val="a2"/>
    <w:link w:val="9"/>
    <w:qFormat/>
    <w:rPr>
      <w:rFonts w:ascii="Arial" w:eastAsia="仿宋_GB2312" w:hAnsi="Arial" w:cs="Times New Roman"/>
      <w:color w:val="000000"/>
      <w:kern w:val="0"/>
      <w:sz w:val="28"/>
      <w:szCs w:val="20"/>
    </w:rPr>
  </w:style>
  <w:style w:type="character" w:customStyle="1" w:styleId="Char">
    <w:name w:val="正文缩进 Char"/>
    <w:link w:val="a1"/>
    <w:qFormat/>
    <w:rPr>
      <w:rFonts w:ascii="Times New Roman" w:eastAsia="宋体" w:hAnsi="Times New Roman" w:cs="Times New Roman"/>
      <w:sz w:val="24"/>
      <w:szCs w:val="20"/>
      <w:lang w:val="zh-CN"/>
    </w:rPr>
  </w:style>
  <w:style w:type="character" w:customStyle="1" w:styleId="1Char">
    <w:name w:val="标题 1 Char"/>
    <w:link w:val="1"/>
    <w:qFormat/>
    <w:rPr>
      <w:rFonts w:ascii="Times New Roman" w:eastAsia="黑体" w:hAnsi="Times New Roman" w:cs="Times New Roman"/>
      <w:kern w:val="44"/>
      <w:sz w:val="44"/>
      <w:szCs w:val="20"/>
      <w:lang w:val="zh-CN"/>
    </w:rPr>
  </w:style>
  <w:style w:type="character" w:customStyle="1" w:styleId="Char2">
    <w:name w:val="批注文字 Char"/>
    <w:basedOn w:val="a2"/>
    <w:link w:val="a9"/>
    <w:qFormat/>
  </w:style>
  <w:style w:type="character" w:customStyle="1" w:styleId="aff3">
    <w:name w:val="批注主题 字符"/>
    <w:basedOn w:val="Char2"/>
    <w:qFormat/>
    <w:rPr>
      <w:b/>
      <w:bCs/>
    </w:rPr>
  </w:style>
  <w:style w:type="character" w:customStyle="1" w:styleId="29">
    <w:name w:val="批注文字 字符2"/>
    <w:uiPriority w:val="99"/>
    <w:qFormat/>
    <w:rPr>
      <w:rFonts w:eastAsia="宋体"/>
      <w:kern w:val="2"/>
      <w:sz w:val="24"/>
      <w:lang w:val="en-US" w:eastAsia="zh-CN" w:bidi="ar-SA"/>
    </w:rPr>
  </w:style>
  <w:style w:type="character" w:customStyle="1" w:styleId="Charc">
    <w:name w:val="批注主题 Char"/>
    <w:link w:val="af9"/>
    <w:qFormat/>
    <w:rPr>
      <w:rFonts w:ascii="Times New Roman" w:eastAsia="宋体" w:hAnsi="Times New Roman" w:cs="Times New Roman"/>
      <w:b/>
      <w:bCs/>
      <w:szCs w:val="20"/>
    </w:rPr>
  </w:style>
  <w:style w:type="character" w:customStyle="1" w:styleId="aff4">
    <w:name w:val="文档结构图 字符"/>
    <w:basedOn w:val="a2"/>
    <w:qFormat/>
    <w:rPr>
      <w:rFonts w:ascii="Microsoft YaHei UI" w:eastAsia="Microsoft YaHei UI"/>
      <w:sz w:val="18"/>
      <w:szCs w:val="18"/>
    </w:rPr>
  </w:style>
  <w:style w:type="character" w:customStyle="1" w:styleId="Char1">
    <w:name w:val="文档结构图 Char"/>
    <w:link w:val="a7"/>
    <w:qFormat/>
    <w:rPr>
      <w:rFonts w:ascii="Times New Roman" w:eastAsia="宋体" w:hAnsi="Times New Roman" w:cs="Times New Roman"/>
      <w:szCs w:val="20"/>
      <w:shd w:val="clear" w:color="auto" w:fill="000080"/>
    </w:rPr>
  </w:style>
  <w:style w:type="character" w:customStyle="1" w:styleId="3Char0">
    <w:name w:val="正文文本 3 Char"/>
    <w:basedOn w:val="a2"/>
    <w:link w:val="30"/>
    <w:qFormat/>
    <w:rPr>
      <w:rFonts w:ascii="宋体" w:eastAsia="宋体" w:hAnsi="宋体" w:cs="Times New Roman"/>
      <w:sz w:val="20"/>
      <w:szCs w:val="20"/>
    </w:rPr>
  </w:style>
  <w:style w:type="character" w:customStyle="1" w:styleId="Char20">
    <w:name w:val="正文文本 Char2"/>
    <w:basedOn w:val="a2"/>
    <w:link w:val="aa"/>
    <w:qFormat/>
    <w:rPr>
      <w:rFonts w:ascii="Times New Roman" w:eastAsia="宋体" w:hAnsi="Times New Roman" w:cs="Times New Roman"/>
      <w:kern w:val="0"/>
      <w:sz w:val="30"/>
      <w:szCs w:val="20"/>
    </w:rPr>
  </w:style>
  <w:style w:type="character" w:customStyle="1" w:styleId="Char21">
    <w:name w:val="正文文本缩进 Char2"/>
    <w:basedOn w:val="a2"/>
    <w:link w:val="ab"/>
    <w:qFormat/>
    <w:rPr>
      <w:rFonts w:ascii="Times New Roman" w:eastAsia="楷体_GB2312" w:hAnsi="Times New Roman" w:cs="Times New Roman"/>
      <w:b/>
      <w:kern w:val="0"/>
      <w:sz w:val="28"/>
      <w:szCs w:val="20"/>
    </w:rPr>
  </w:style>
  <w:style w:type="character" w:customStyle="1" w:styleId="aff5">
    <w:name w:val="纯文本 字符"/>
    <w:basedOn w:val="a2"/>
    <w:qFormat/>
    <w:rPr>
      <w:rFonts w:asciiTheme="minorEastAsia" w:hAnsi="Courier New" w:cs="Courier New"/>
    </w:rPr>
  </w:style>
  <w:style w:type="character" w:customStyle="1" w:styleId="Char3">
    <w:name w:val="纯文本 Char"/>
    <w:link w:val="ae"/>
    <w:qFormat/>
    <w:rPr>
      <w:rFonts w:ascii="宋体" w:eastAsia="宋体" w:hAnsi="Courier New" w:cs="Times New Roman"/>
      <w:sz w:val="24"/>
      <w:szCs w:val="20"/>
    </w:rPr>
  </w:style>
  <w:style w:type="character" w:customStyle="1" w:styleId="Char4">
    <w:name w:val="日期 Char"/>
    <w:basedOn w:val="a2"/>
    <w:link w:val="af"/>
    <w:qFormat/>
    <w:rPr>
      <w:rFonts w:ascii="黑体" w:eastAsia="黑体" w:hAnsi="Times New Roman" w:cs="Times New Roman"/>
      <w:sz w:val="32"/>
      <w:szCs w:val="20"/>
    </w:rPr>
  </w:style>
  <w:style w:type="character" w:customStyle="1" w:styleId="2Char0">
    <w:name w:val="正文文本缩进 2 Char"/>
    <w:basedOn w:val="a2"/>
    <w:link w:val="22"/>
    <w:qFormat/>
    <w:rPr>
      <w:rFonts w:ascii="宋体" w:eastAsia="宋体" w:hAnsi="Times New Roman" w:cs="Times New Roman"/>
      <w:sz w:val="24"/>
      <w:szCs w:val="20"/>
    </w:rPr>
  </w:style>
  <w:style w:type="character" w:customStyle="1" w:styleId="Char5">
    <w:name w:val="批注框文本 Char"/>
    <w:basedOn w:val="a2"/>
    <w:link w:val="af0"/>
    <w:semiHidden/>
    <w:qFormat/>
    <w:rPr>
      <w:rFonts w:ascii="Times New Roman" w:eastAsia="宋体" w:hAnsi="Times New Roman" w:cs="Times New Roman"/>
      <w:sz w:val="18"/>
      <w:szCs w:val="18"/>
    </w:rPr>
  </w:style>
  <w:style w:type="character" w:customStyle="1" w:styleId="aff6">
    <w:name w:val="页脚 字符"/>
    <w:basedOn w:val="a2"/>
    <w:qFormat/>
    <w:rPr>
      <w:sz w:val="18"/>
      <w:szCs w:val="18"/>
    </w:rPr>
  </w:style>
  <w:style w:type="character" w:customStyle="1" w:styleId="Char6">
    <w:name w:val="页脚 Char"/>
    <w:link w:val="af1"/>
    <w:qFormat/>
    <w:rPr>
      <w:rFonts w:ascii="Times New Roman" w:eastAsia="宋体" w:hAnsi="Times New Roman" w:cs="Times New Roman"/>
      <w:sz w:val="18"/>
      <w:szCs w:val="20"/>
      <w:lang w:val="zh-CN"/>
    </w:rPr>
  </w:style>
  <w:style w:type="character" w:customStyle="1" w:styleId="aff7">
    <w:name w:val="页眉 字符"/>
    <w:basedOn w:val="a2"/>
    <w:uiPriority w:val="99"/>
    <w:qFormat/>
    <w:rPr>
      <w:sz w:val="18"/>
      <w:szCs w:val="18"/>
    </w:rPr>
  </w:style>
  <w:style w:type="character" w:customStyle="1" w:styleId="Char7">
    <w:name w:val="页眉 Char"/>
    <w:link w:val="af2"/>
    <w:qFormat/>
    <w:rPr>
      <w:rFonts w:ascii="Times New Roman" w:eastAsia="宋体" w:hAnsi="Times New Roman" w:cs="Times New Roman"/>
      <w:sz w:val="18"/>
      <w:szCs w:val="20"/>
    </w:rPr>
  </w:style>
  <w:style w:type="character" w:customStyle="1" w:styleId="aff8">
    <w:name w:val="脚注文本 字符"/>
    <w:basedOn w:val="a2"/>
    <w:qFormat/>
    <w:rPr>
      <w:sz w:val="18"/>
      <w:szCs w:val="18"/>
    </w:rPr>
  </w:style>
  <w:style w:type="character" w:customStyle="1" w:styleId="Char9">
    <w:name w:val="脚注文本 Char"/>
    <w:link w:val="af6"/>
    <w:uiPriority w:val="99"/>
    <w:qFormat/>
    <w:rPr>
      <w:rFonts w:ascii="Times New Roman" w:eastAsia="宋体" w:hAnsi="Times New Roman" w:cs="Times New Roman"/>
      <w:sz w:val="18"/>
      <w:szCs w:val="20"/>
    </w:rPr>
  </w:style>
  <w:style w:type="character" w:customStyle="1" w:styleId="3Char1">
    <w:name w:val="正文文本缩进 3 Char"/>
    <w:basedOn w:val="a2"/>
    <w:link w:val="33"/>
    <w:qFormat/>
    <w:rPr>
      <w:rFonts w:ascii="宋体" w:eastAsia="宋体" w:hAnsi="Times New Roman" w:cs="Times New Roman"/>
      <w:sz w:val="24"/>
      <w:szCs w:val="20"/>
    </w:rPr>
  </w:style>
  <w:style w:type="character" w:customStyle="1" w:styleId="2Char1">
    <w:name w:val="正文文本 2 Char"/>
    <w:basedOn w:val="a2"/>
    <w:link w:val="24"/>
    <w:qFormat/>
    <w:rPr>
      <w:rFonts w:ascii="宋体" w:eastAsia="宋体" w:hAnsi="宋体" w:cs="Times New Roman"/>
      <w:color w:val="FF0000"/>
      <w:sz w:val="24"/>
      <w:szCs w:val="20"/>
    </w:rPr>
  </w:style>
  <w:style w:type="character" w:customStyle="1" w:styleId="HTML0">
    <w:name w:val="HTML 预设格式 字符"/>
    <w:basedOn w:val="a2"/>
    <w:qFormat/>
    <w:rPr>
      <w:rFonts w:ascii="Courier New" w:hAnsi="Courier New" w:cs="Courier New"/>
      <w:sz w:val="20"/>
      <w:szCs w:val="20"/>
    </w:rPr>
  </w:style>
  <w:style w:type="character" w:customStyle="1" w:styleId="HTMLChar">
    <w:name w:val="HTML 预设格式 Char"/>
    <w:link w:val="HTML"/>
    <w:qFormat/>
    <w:rPr>
      <w:rFonts w:ascii="黑体" w:eastAsia="黑体" w:hAnsi="Courier New" w:cs="Times New Roman"/>
      <w:kern w:val="0"/>
      <w:sz w:val="20"/>
      <w:szCs w:val="20"/>
    </w:rPr>
  </w:style>
  <w:style w:type="character" w:customStyle="1" w:styleId="Chara">
    <w:name w:val="普通(网站) Char"/>
    <w:link w:val="af7"/>
    <w:qFormat/>
    <w:locked/>
    <w:rPr>
      <w:rFonts w:ascii="宋体" w:eastAsia="宋体" w:hAnsi="宋体" w:cs="Times New Roman"/>
      <w:color w:val="0A043D"/>
      <w:kern w:val="0"/>
      <w:sz w:val="24"/>
      <w:szCs w:val="24"/>
    </w:rPr>
  </w:style>
  <w:style w:type="character" w:customStyle="1" w:styleId="aff9">
    <w:name w:val="标题 字符"/>
    <w:basedOn w:val="a2"/>
    <w:qFormat/>
    <w:rPr>
      <w:rFonts w:asciiTheme="majorHAnsi" w:eastAsiaTheme="majorEastAsia" w:hAnsiTheme="majorHAnsi" w:cstheme="majorBidi"/>
      <w:b/>
      <w:bCs/>
      <w:sz w:val="32"/>
      <w:szCs w:val="32"/>
    </w:rPr>
  </w:style>
  <w:style w:type="character" w:customStyle="1" w:styleId="Charb">
    <w:name w:val="标题 Char"/>
    <w:link w:val="af8"/>
    <w:qFormat/>
    <w:rPr>
      <w:rFonts w:ascii="Cambria" w:eastAsia="宋体" w:hAnsi="Cambria" w:cs="Times New Roman"/>
      <w:b/>
      <w:bCs/>
      <w:sz w:val="32"/>
      <w:szCs w:val="32"/>
      <w:lang w:val="zh-CN"/>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contenttext11">
    <w:name w:val="contenttext11"/>
    <w:qFormat/>
    <w:rPr>
      <w:rFonts w:ascii="宋体" w:eastAsia="宋体" w:hAnsi="宋体" w:hint="eastAsia"/>
      <w:spacing w:val="240"/>
      <w:sz w:val="20"/>
      <w:szCs w:val="20"/>
    </w:rPr>
  </w:style>
  <w:style w:type="character" w:customStyle="1" w:styleId="font11">
    <w:name w:val="font11"/>
    <w:basedOn w:val="a2"/>
    <w:qFormat/>
    <w:rPr>
      <w:rFonts w:ascii="Arial Narrow" w:eastAsia="Arial Narrow" w:hAnsi="Arial Narrow" w:cs="Arial Narrow" w:hint="default"/>
      <w:color w:val="000000"/>
      <w:sz w:val="20"/>
      <w:szCs w:val="20"/>
      <w:u w:val="none"/>
    </w:rPr>
  </w:style>
  <w:style w:type="character" w:customStyle="1" w:styleId="font21">
    <w:name w:val="font21"/>
    <w:basedOn w:val="a2"/>
    <w:qFormat/>
    <w:rPr>
      <w:rFonts w:ascii="Arial Narrow" w:eastAsia="Arial Narrow" w:hAnsi="Arial Narrow" w:cs="Arial Narrow" w:hint="default"/>
      <w:color w:val="000000"/>
      <w:sz w:val="20"/>
      <w:szCs w:val="20"/>
      <w:u w:val="none"/>
    </w:rPr>
  </w:style>
  <w:style w:type="paragraph" w:customStyle="1" w:styleId="yl">
    <w:name w:val="yl"/>
    <w:basedOn w:val="a0"/>
    <w:qFormat/>
    <w:pPr>
      <w:ind w:firstLine="540"/>
    </w:pPr>
    <w:rPr>
      <w:rFonts w:ascii="宋体" w:eastAsia="宋体" w:hAnsi="Times New Roman" w:cs="Times New Roman"/>
      <w:sz w:val="24"/>
      <w:szCs w:val="20"/>
    </w:rPr>
  </w:style>
  <w:style w:type="paragraph" w:customStyle="1" w:styleId="14">
    <w:name w:val="纯文本1"/>
    <w:basedOn w:val="a0"/>
    <w:qFormat/>
    <w:pPr>
      <w:adjustRightInd w:val="0"/>
      <w:textAlignment w:val="baseline"/>
    </w:pPr>
    <w:rPr>
      <w:rFonts w:ascii="宋体" w:eastAsia="宋体" w:hAnsi="Courier New" w:cs="Times New Roman"/>
      <w:szCs w:val="20"/>
    </w:rPr>
  </w:style>
  <w:style w:type="paragraph" w:customStyle="1" w:styleId="zw">
    <w:name w:val="zw"/>
    <w:basedOn w:val="a0"/>
    <w:link w:val="zwChar"/>
    <w:qFormat/>
    <w:pPr>
      <w:autoSpaceDE w:val="0"/>
      <w:autoSpaceDN w:val="0"/>
      <w:adjustRightInd w:val="0"/>
      <w:spacing w:before="60" w:after="60" w:line="440" w:lineRule="atLeast"/>
      <w:ind w:firstLine="601"/>
      <w:textAlignment w:val="bottom"/>
    </w:pPr>
    <w:rPr>
      <w:rFonts w:ascii="Arial Narrow" w:eastAsia="昆仑楷体" w:hAnsi="Arial" w:cs="Times New Roman"/>
      <w:kern w:val="0"/>
      <w:sz w:val="28"/>
      <w:szCs w:val="20"/>
    </w:rPr>
  </w:style>
  <w:style w:type="character" w:customStyle="1" w:styleId="zwChar">
    <w:name w:val="zw Char"/>
    <w:link w:val="zw"/>
    <w:qFormat/>
    <w:rPr>
      <w:rFonts w:ascii="Arial Narrow" w:eastAsia="昆仑楷体" w:hAnsi="Arial" w:cs="Times New Roman"/>
      <w:kern w:val="0"/>
      <w:sz w:val="28"/>
      <w:szCs w:val="20"/>
    </w:rPr>
  </w:style>
  <w:style w:type="paragraph" w:customStyle="1" w:styleId="1-21">
    <w:name w:val="中等深浅网格 1 - 强调文字颜色 21"/>
    <w:basedOn w:val="a0"/>
    <w:uiPriority w:val="34"/>
    <w:qFormat/>
    <w:pPr>
      <w:ind w:firstLineChars="200" w:firstLine="420"/>
    </w:pPr>
    <w:rPr>
      <w:rFonts w:ascii="Times New Roman" w:eastAsia="宋体" w:hAnsi="Times New Roman" w:cs="Times New Roman"/>
      <w:szCs w:val="20"/>
    </w:rPr>
  </w:style>
  <w:style w:type="paragraph" w:customStyle="1" w:styleId="ZW1">
    <w:name w:val="ZW1"/>
    <w:basedOn w:val="a0"/>
    <w:qFormat/>
    <w:pPr>
      <w:spacing w:before="120" w:line="360" w:lineRule="auto"/>
      <w:ind w:firstLine="567"/>
    </w:pPr>
    <w:rPr>
      <w:rFonts w:ascii="Arial Narrow" w:eastAsia="宋体" w:hAnsi="Arial Narrow" w:cs="Times New Roman"/>
      <w:sz w:val="24"/>
      <w:szCs w:val="20"/>
    </w:rPr>
  </w:style>
  <w:style w:type="paragraph" w:customStyle="1" w:styleId="CharCharCharCharCharCharChar">
    <w:name w:val="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27">
    <w:name w:val="xl27"/>
    <w:basedOn w:val="a0"/>
    <w:qFormat/>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BT2">
    <w:name w:val="BT2"/>
    <w:basedOn w:val="a0"/>
    <w:qFormat/>
    <w:pPr>
      <w:spacing w:before="120" w:line="360" w:lineRule="auto"/>
      <w:ind w:firstLine="567"/>
    </w:pPr>
    <w:rPr>
      <w:rFonts w:ascii="Arial Narrow" w:eastAsia="宋体" w:hAnsi="Arial Narrow" w:cs="Times New Roman"/>
      <w:b/>
      <w:sz w:val="24"/>
      <w:szCs w:val="20"/>
    </w:rPr>
  </w:style>
  <w:style w:type="paragraph" w:customStyle="1" w:styleId="210">
    <w:name w:val="正文文本缩进 21"/>
    <w:basedOn w:val="a0"/>
    <w:qFormat/>
    <w:pPr>
      <w:adjustRightInd w:val="0"/>
      <w:jc w:val="left"/>
      <w:textAlignment w:val="baseline"/>
    </w:pPr>
    <w:rPr>
      <w:rFonts w:ascii="Times New Roman" w:eastAsia="楷体_GB2312" w:hAnsi="Times New Roman" w:cs="Times New Roman"/>
      <w:sz w:val="30"/>
      <w:szCs w:val="20"/>
    </w:rPr>
  </w:style>
  <w:style w:type="paragraph" w:customStyle="1" w:styleId="affa">
    <w:name w:val="表文"/>
    <w:basedOn w:val="a0"/>
    <w:qFormat/>
    <w:pPr>
      <w:adjustRightInd w:val="0"/>
      <w:snapToGrid w:val="0"/>
      <w:spacing w:before="60" w:line="300" w:lineRule="auto"/>
      <w:jc w:val="center"/>
    </w:pPr>
    <w:rPr>
      <w:rFonts w:ascii="仿宋_GB2312" w:eastAsia="仿宋_GB2312" w:hAnsi="Times New Roman" w:cs="Times New Roman"/>
      <w:szCs w:val="20"/>
    </w:rPr>
  </w:style>
  <w:style w:type="paragraph" w:customStyle="1" w:styleId="42">
    <w:name w:val="新标题4"/>
    <w:basedOn w:val="4"/>
    <w:next w:val="a0"/>
    <w:qFormat/>
    <w:pPr>
      <w:keepNext w:val="0"/>
      <w:keepLines w:val="0"/>
      <w:tabs>
        <w:tab w:val="left" w:pos="720"/>
      </w:tabs>
      <w:adjustRightInd w:val="0"/>
      <w:spacing w:before="40" w:after="40" w:line="240" w:lineRule="atLeast"/>
      <w:jc w:val="left"/>
      <w:textAlignment w:val="baseline"/>
    </w:pPr>
    <w:rPr>
      <w:rFonts w:ascii="Times New Roman" w:hAnsi="Times New Roman"/>
      <w:kern w:val="0"/>
      <w:sz w:val="32"/>
    </w:rPr>
  </w:style>
  <w:style w:type="paragraph" w:customStyle="1" w:styleId="font5">
    <w:name w:val="font5"/>
    <w:basedOn w:val="a0"/>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e">
    <w:name w:val="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5">
    <w:name w:val="列出段落1"/>
    <w:basedOn w:val="a0"/>
    <w:unhideWhenUsed/>
    <w:qFormat/>
    <w:pPr>
      <w:ind w:firstLineChars="200" w:firstLine="420"/>
    </w:pPr>
    <w:rPr>
      <w:rFonts w:ascii="Calibri" w:eastAsia="宋体" w:hAnsi="Calibri" w:cs="Times New Roman"/>
    </w:rPr>
  </w:style>
  <w:style w:type="paragraph" w:customStyle="1" w:styleId="72">
    <w:name w:val="样式7"/>
    <w:basedOn w:val="a0"/>
    <w:qFormat/>
    <w:pPr>
      <w:spacing w:line="360" w:lineRule="auto"/>
      <w:ind w:firstLine="567"/>
    </w:pPr>
    <w:rPr>
      <w:rFonts w:ascii="仿宋_GB2312" w:eastAsia="仿宋_GB2312" w:hAnsi="Times New Roman" w:cs="Times New Roman"/>
      <w:sz w:val="28"/>
      <w:szCs w:val="20"/>
    </w:rPr>
  </w:style>
  <w:style w:type="paragraph" w:customStyle="1" w:styleId="ParaCharCharCharCharCharCharChar">
    <w:name w:val="默认段落字体 Para Char Char Char Char Char Char Char"/>
    <w:basedOn w:val="a0"/>
    <w:qFormat/>
    <w:rPr>
      <w:rFonts w:ascii="Tahoma" w:eastAsia="宋体" w:hAnsi="Tahoma" w:cs="Times New Roman"/>
      <w:sz w:val="24"/>
      <w:szCs w:val="20"/>
    </w:rPr>
  </w:style>
  <w:style w:type="paragraph" w:customStyle="1" w:styleId="xl36">
    <w:name w:val="xl36"/>
    <w:basedOn w:val="a0"/>
    <w:qFormat/>
    <w:pPr>
      <w:widowControl/>
      <w:pBdr>
        <w:bottom w:val="single" w:sz="4" w:space="0" w:color="auto"/>
      </w:pBdr>
      <w:spacing w:before="100" w:beforeAutospacing="1" w:after="100" w:afterAutospacing="1"/>
      <w:jc w:val="right"/>
    </w:pPr>
    <w:rPr>
      <w:rFonts w:ascii="Arial Unicode MS" w:eastAsia="宋体" w:hAnsi="Arial Unicode MS" w:cs="Times New Roman"/>
      <w:kern w:val="0"/>
      <w:sz w:val="20"/>
      <w:szCs w:val="20"/>
    </w:rPr>
  </w:style>
  <w:style w:type="paragraph" w:customStyle="1" w:styleId="16">
    <w:name w:val="说明1"/>
    <w:basedOn w:val="a0"/>
    <w:qFormat/>
    <w:pPr>
      <w:suppressLineNumbers/>
      <w:tabs>
        <w:tab w:val="left" w:pos="425"/>
      </w:tabs>
      <w:spacing w:line="440" w:lineRule="exact"/>
      <w:ind w:left="851" w:hanging="284"/>
    </w:pPr>
    <w:rPr>
      <w:rFonts w:ascii="Times New Roman" w:eastAsia="宋体" w:hAnsi="Times New Roman" w:cs="Times New Roman"/>
      <w:kern w:val="21"/>
      <w:sz w:val="28"/>
      <w:szCs w:val="20"/>
    </w:rPr>
  </w:style>
  <w:style w:type="paragraph" w:customStyle="1" w:styleId="aa0">
    <w:name w:val="aa"/>
    <w:basedOn w:val="a0"/>
    <w:qFormat/>
    <w:pPr>
      <w:adjustRightInd w:val="0"/>
      <w:spacing w:before="120" w:after="120" w:line="358" w:lineRule="auto"/>
      <w:ind w:firstLine="425"/>
      <w:jc w:val="center"/>
      <w:textAlignment w:val="baseline"/>
    </w:pPr>
    <w:rPr>
      <w:rFonts w:ascii="大黑体" w:eastAsia="大黑体" w:hAnsi="Arial Narrow" w:cs="Times New Roman"/>
      <w:b/>
      <w:kern w:val="0"/>
      <w:sz w:val="36"/>
      <w:szCs w:val="20"/>
    </w:rPr>
  </w:style>
  <w:style w:type="paragraph" w:customStyle="1" w:styleId="BodySingle">
    <w:name w:val="Body Single"/>
    <w:qFormat/>
    <w:pPr>
      <w:widowControl w:val="0"/>
      <w:tabs>
        <w:tab w:val="left" w:pos="705"/>
        <w:tab w:val="left" w:pos="1440"/>
        <w:tab w:val="left" w:pos="2304"/>
        <w:tab w:val="right" w:pos="10425"/>
      </w:tabs>
      <w:autoSpaceDE w:val="0"/>
      <w:autoSpaceDN w:val="0"/>
      <w:adjustRightInd w:val="0"/>
      <w:jc w:val="both"/>
      <w:textAlignment w:val="baseline"/>
    </w:pPr>
    <w:rPr>
      <w:color w:val="000000"/>
      <w:sz w:val="24"/>
      <w:lang w:val="en-GB"/>
    </w:rPr>
  </w:style>
  <w:style w:type="paragraph" w:customStyle="1" w:styleId="ZW2">
    <w:name w:val="ZW2"/>
    <w:basedOn w:val="a0"/>
    <w:qFormat/>
    <w:pPr>
      <w:spacing w:before="120" w:line="360" w:lineRule="auto"/>
      <w:ind w:firstLine="680"/>
    </w:pPr>
    <w:rPr>
      <w:rFonts w:ascii="Arial Narrow" w:eastAsia="宋体" w:hAnsi="Arial Narrow" w:cs="Times New Roman"/>
      <w:sz w:val="24"/>
      <w:szCs w:val="20"/>
    </w:rPr>
  </w:style>
  <w:style w:type="paragraph" w:customStyle="1" w:styleId="font0">
    <w:name w:val="font0"/>
    <w:basedOn w:val="a0"/>
    <w:qFormat/>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宋体" w:cs="Times New Roman" w:hint="eastAsia"/>
      <w:color w:val="000000"/>
      <w:kern w:val="0"/>
      <w:szCs w:val="21"/>
    </w:rPr>
  </w:style>
  <w:style w:type="paragraph" w:customStyle="1" w:styleId="XBT">
    <w:name w:val="XBT"/>
    <w:basedOn w:val="a0"/>
    <w:qFormat/>
    <w:pPr>
      <w:adjustRightInd w:val="0"/>
      <w:spacing w:before="360" w:after="120" w:line="440" w:lineRule="atLeast"/>
      <w:ind w:firstLine="425"/>
      <w:textAlignment w:val="baseline"/>
    </w:pPr>
    <w:rPr>
      <w:rFonts w:ascii="Arial Narrow" w:eastAsia="黑体" w:hAnsi="Arial Narrow" w:cs="Times New Roman"/>
      <w:b/>
      <w:kern w:val="0"/>
      <w:sz w:val="30"/>
      <w:szCs w:val="20"/>
    </w:rPr>
  </w:style>
  <w:style w:type="paragraph" w:customStyle="1" w:styleId="ZW0">
    <w:name w:val="ZW"/>
    <w:basedOn w:val="a0"/>
    <w:qFormat/>
    <w:pPr>
      <w:adjustRightInd w:val="0"/>
      <w:spacing w:before="120" w:after="120" w:line="440" w:lineRule="atLeast"/>
      <w:ind w:firstLine="601"/>
      <w:textAlignment w:val="baseline"/>
    </w:pPr>
    <w:rPr>
      <w:rFonts w:ascii="Arial Narrow" w:eastAsia="昆仑楷体" w:hAnsi="Arial Narrow" w:cs="Times New Roman"/>
      <w:kern w:val="0"/>
      <w:sz w:val="28"/>
      <w:szCs w:val="20"/>
    </w:rPr>
  </w:style>
  <w:style w:type="paragraph" w:customStyle="1" w:styleId="cc">
    <w:name w:val="cc"/>
    <w:basedOn w:val="XBT"/>
    <w:qFormat/>
    <w:pPr>
      <w:spacing w:before="120"/>
    </w:pPr>
    <w:rPr>
      <w:rFonts w:ascii="大黑体" w:eastAsia="大黑体"/>
      <w:sz w:val="24"/>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CharCharCharCharCharCharCharCharCharCharCharCharCharCharCharCharCharCharChar">
    <w:name w:val="Char Char Char Char Char Char Char Char Char Char Char Char Char Char Char Char Char Char Char"/>
    <w:basedOn w:val="a0"/>
    <w:qFormat/>
    <w:rPr>
      <w:rFonts w:ascii="Tahoma" w:eastAsia="宋体" w:hAnsi="Tahoma" w:cs="Times New Roman"/>
      <w:sz w:val="24"/>
      <w:szCs w:val="20"/>
    </w:rPr>
  </w:style>
  <w:style w:type="character" w:customStyle="1" w:styleId="17">
    <w:name w:val="页眉 字符1"/>
    <w:qFormat/>
    <w:rPr>
      <w:rFonts w:eastAsia="宋体"/>
      <w:kern w:val="2"/>
      <w:sz w:val="18"/>
      <w:lang w:val="en-US" w:eastAsia="zh-CN" w:bidi="ar-SA"/>
    </w:rPr>
  </w:style>
  <w:style w:type="character" w:customStyle="1" w:styleId="affb">
    <w:name w:val="正文缩进 字符"/>
    <w:qFormat/>
    <w:rPr>
      <w:kern w:val="2"/>
      <w:sz w:val="24"/>
    </w:rPr>
  </w:style>
  <w:style w:type="character" w:customStyle="1" w:styleId="18">
    <w:name w:val="批注文字 字符1"/>
    <w:semiHidden/>
    <w:qFormat/>
    <w:rPr>
      <w:rFonts w:eastAsia="宋体"/>
      <w:kern w:val="2"/>
      <w:sz w:val="24"/>
      <w:lang w:val="en-US" w:eastAsia="zh-CN" w:bidi="ar-SA"/>
    </w:rPr>
  </w:style>
  <w:style w:type="character" w:customStyle="1" w:styleId="19">
    <w:name w:val="页脚 字符1"/>
    <w:uiPriority w:val="99"/>
    <w:qFormat/>
    <w:rPr>
      <w:kern w:val="2"/>
      <w:sz w:val="18"/>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31">
    <w:name w:val="font31"/>
    <w:basedOn w:val="a2"/>
    <w:qFormat/>
    <w:rPr>
      <w:rFonts w:ascii="Times New Roman" w:hAnsi="Times New Roman" w:cs="Times New Roman" w:hint="default"/>
      <w:color w:val="000000"/>
      <w:sz w:val="20"/>
      <w:szCs w:val="20"/>
      <w:u w:val="none"/>
    </w:rPr>
  </w:style>
  <w:style w:type="paragraph" w:styleId="affc">
    <w:name w:val="List Paragraph"/>
    <w:basedOn w:val="a0"/>
    <w:uiPriority w:val="99"/>
    <w:qFormat/>
    <w:pPr>
      <w:ind w:firstLineChars="200" w:firstLine="420"/>
    </w:pPr>
    <w:rPr>
      <w:rFonts w:ascii="Times New Roman" w:eastAsia="宋体" w:hAnsi="Times New Roman" w:cs="Times New Roman"/>
      <w:szCs w:val="20"/>
    </w:rPr>
  </w:style>
  <w:style w:type="character" w:customStyle="1" w:styleId="Char10">
    <w:name w:val="正文文本 Char1"/>
    <w:qFormat/>
    <w:rPr>
      <w:sz w:val="30"/>
    </w:rPr>
  </w:style>
  <w:style w:type="character" w:customStyle="1" w:styleId="dashChar">
    <w:name w:val="dash Char"/>
    <w:qFormat/>
    <w:rPr>
      <w:rFonts w:ascii="仿宋_GB2312" w:eastAsia="仿宋_GB2312" w:hAnsi="Times New Roman" w:cs="Times New Roman"/>
      <w:b/>
      <w:kern w:val="0"/>
      <w:sz w:val="28"/>
      <w:szCs w:val="20"/>
    </w:rPr>
  </w:style>
  <w:style w:type="character" w:customStyle="1" w:styleId="font61">
    <w:name w:val="font61"/>
    <w:basedOn w:val="a2"/>
    <w:qFormat/>
    <w:rPr>
      <w:rFonts w:ascii="Times New Roman" w:hAnsi="Times New Roman" w:cs="Times New Roman" w:hint="default"/>
      <w:b/>
      <w:color w:val="000000"/>
      <w:sz w:val="18"/>
      <w:szCs w:val="18"/>
      <w:u w:val="none"/>
    </w:rPr>
  </w:style>
  <w:style w:type="character" w:customStyle="1" w:styleId="content1">
    <w:name w:val="content1"/>
    <w:qFormat/>
    <w:rPr>
      <w:color w:val="000000"/>
      <w:sz w:val="21"/>
      <w:szCs w:val="21"/>
    </w:rPr>
  </w:style>
  <w:style w:type="character" w:customStyle="1" w:styleId="larger">
    <w:name w:val="larger"/>
    <w:qFormat/>
  </w:style>
  <w:style w:type="character" w:customStyle="1" w:styleId="CharChar25">
    <w:name w:val="Char Char25"/>
    <w:qFormat/>
    <w:rPr>
      <w:rFonts w:ascii="宋体"/>
      <w:kern w:val="2"/>
      <w:sz w:val="24"/>
    </w:rPr>
  </w:style>
  <w:style w:type="character" w:customStyle="1" w:styleId="CharChar131">
    <w:name w:val="Char Char131"/>
    <w:qFormat/>
    <w:rPr>
      <w:rFonts w:ascii="黑体" w:eastAsia="黑体" w:hAnsi="Times New Roman" w:cs="Times New Roman"/>
      <w:kern w:val="0"/>
      <w:szCs w:val="20"/>
    </w:rPr>
  </w:style>
  <w:style w:type="character" w:customStyle="1" w:styleId="CharChar19">
    <w:name w:val="Char Char19"/>
    <w:qFormat/>
    <w:rPr>
      <w:rFonts w:ascii="宋体" w:eastAsia="宋体" w:hAnsi="Times New Roman" w:cs="Times New Roman"/>
      <w:b/>
      <w:kern w:val="44"/>
      <w:sz w:val="44"/>
      <w:szCs w:val="20"/>
    </w:rPr>
  </w:style>
  <w:style w:type="character" w:customStyle="1" w:styleId="paramtd12">
    <w:name w:val="param_td12"/>
    <w:qFormat/>
  </w:style>
  <w:style w:type="character" w:customStyle="1" w:styleId="da1">
    <w:name w:val="da1"/>
    <w:qFormat/>
    <w:rPr>
      <w:rFonts w:hint="default"/>
      <w:color w:val="000000"/>
      <w:sz w:val="21"/>
      <w:szCs w:val="21"/>
      <w:u w:val="none"/>
    </w:rPr>
  </w:style>
  <w:style w:type="character" w:customStyle="1" w:styleId="CharChar9">
    <w:name w:val="Char Char9"/>
    <w:qFormat/>
    <w:rPr>
      <w:rFonts w:ascii="仿宋_GB2312" w:eastAsia="仿宋_GB2312" w:hAnsi="Times New Roman" w:cs="Times New Roman"/>
      <w:sz w:val="28"/>
      <w:szCs w:val="20"/>
    </w:rPr>
  </w:style>
  <w:style w:type="character" w:customStyle="1" w:styleId="dsfd">
    <w:name w:val="dsfd"/>
    <w:qFormat/>
  </w:style>
  <w:style w:type="character" w:customStyle="1" w:styleId="Level1-1Char">
    <w:name w:val="Level 1 - 1 Char"/>
    <w:qFormat/>
    <w:rPr>
      <w:rFonts w:ascii="Arial" w:eastAsia="仿宋_GB2312"/>
      <w:b/>
      <w:spacing w:val="-2"/>
      <w:kern w:val="18"/>
      <w:sz w:val="32"/>
      <w:szCs w:val="24"/>
    </w:rPr>
  </w:style>
  <w:style w:type="character" w:customStyle="1" w:styleId="CharChar191">
    <w:name w:val="Char Char191"/>
    <w:qFormat/>
    <w:rPr>
      <w:rFonts w:ascii="宋体" w:eastAsia="宋体" w:hAnsi="Times New Roman" w:cs="Times New Roman"/>
      <w:b/>
      <w:kern w:val="44"/>
      <w:sz w:val="44"/>
      <w:szCs w:val="20"/>
    </w:rPr>
  </w:style>
  <w:style w:type="character" w:customStyle="1" w:styleId="CharChar8">
    <w:name w:val="Char Char8"/>
    <w:qFormat/>
    <w:rPr>
      <w:rFonts w:ascii="宋体" w:eastAsia="宋体" w:hAnsi="Times New Roman" w:cs="Times New Roman"/>
      <w:color w:val="000000"/>
      <w:sz w:val="28"/>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SectionHeadingCharChar">
    <w:name w:val="Section Heading Char Char"/>
    <w:qFormat/>
    <w:rPr>
      <w:rFonts w:ascii="仿宋_GB2312" w:eastAsia="黑体" w:hAnsi="宋体"/>
      <w:b/>
      <w:kern w:val="44"/>
      <w:sz w:val="30"/>
    </w:rPr>
  </w:style>
  <w:style w:type="character" w:customStyle="1" w:styleId="2CharChar1">
    <w:name w:val="正文文字缩进 2 Char Char1"/>
    <w:qFormat/>
    <w:rPr>
      <w:rFonts w:ascii="楷体_GB2312" w:eastAsia="楷体_GB2312"/>
      <w:kern w:val="2"/>
      <w:sz w:val="24"/>
    </w:rPr>
  </w:style>
  <w:style w:type="character" w:customStyle="1" w:styleId="CharChar171">
    <w:name w:val="Char Char171"/>
    <w:qFormat/>
    <w:rPr>
      <w:rFonts w:ascii="黑体" w:eastAsia="黑体" w:hAnsi="Times New Roman" w:cs="Times New Roman"/>
      <w:b/>
      <w:spacing w:val="-2"/>
      <w:kern w:val="18"/>
      <w:sz w:val="28"/>
      <w:szCs w:val="20"/>
    </w:rPr>
  </w:style>
  <w:style w:type="character" w:customStyle="1" w:styleId="CharChar231">
    <w:name w:val="Char Char231"/>
    <w:qFormat/>
    <w:rPr>
      <w:rFonts w:ascii="宋体"/>
      <w:kern w:val="2"/>
      <w:sz w:val="21"/>
      <w:shd w:val="clear" w:color="auto" w:fill="000080"/>
    </w:rPr>
  </w:style>
  <w:style w:type="character" w:customStyle="1" w:styleId="mapbarcityselectcontainer1">
    <w:name w:val="mapbar_city_select_container1"/>
    <w:qFormat/>
  </w:style>
  <w:style w:type="character" w:customStyle="1" w:styleId="aa1">
    <w:name w:val="aa1"/>
    <w:qFormat/>
    <w:rPr>
      <w:sz w:val="18"/>
      <w:szCs w:val="18"/>
    </w:rPr>
  </w:style>
  <w:style w:type="character" w:customStyle="1" w:styleId="style11">
    <w:name w:val="style11"/>
    <w:qFormat/>
    <w:rPr>
      <w:color w:val="000000"/>
    </w:rPr>
  </w:style>
  <w:style w:type="character" w:customStyle="1" w:styleId="da">
    <w:name w:val="da"/>
    <w:qFormat/>
  </w:style>
  <w:style w:type="character" w:customStyle="1" w:styleId="CharChar12">
    <w:name w:val="Char Char12"/>
    <w:qFormat/>
    <w:rPr>
      <w:rFonts w:ascii="宋体" w:eastAsia="宋体" w:hAnsi="Times New Roman" w:cs="Times New Roman"/>
      <w:i/>
      <w:kern w:val="0"/>
      <w:szCs w:val="20"/>
    </w:rPr>
  </w:style>
  <w:style w:type="character" w:customStyle="1" w:styleId="CharChar251">
    <w:name w:val="Char Char251"/>
    <w:qFormat/>
    <w:rPr>
      <w:rFonts w:ascii="宋体"/>
      <w:kern w:val="2"/>
      <w:sz w:val="24"/>
    </w:rPr>
  </w:style>
  <w:style w:type="character" w:customStyle="1" w:styleId="footeroddCharChar1">
    <w:name w:val="footer odd Char Char1"/>
    <w:qFormat/>
    <w:rPr>
      <w:rFonts w:eastAsia="宋体"/>
      <w:sz w:val="18"/>
      <w:lang w:val="en-US" w:eastAsia="zh-CN" w:bidi="ar-SA"/>
    </w:rPr>
  </w:style>
  <w:style w:type="character" w:customStyle="1" w:styleId="3CharChar">
    <w:name w:val="正文文字缩进 3 Char Char"/>
    <w:qFormat/>
    <w:rPr>
      <w:rFonts w:ascii="仿宋_GB2312" w:eastAsia="仿宋_GB2312"/>
      <w:sz w:val="28"/>
    </w:rPr>
  </w:style>
  <w:style w:type="character" w:customStyle="1" w:styleId="a10">
    <w:name w:val="a1"/>
    <w:qFormat/>
    <w:rPr>
      <w:rFonts w:hint="default"/>
      <w:color w:val="000000"/>
      <w:sz w:val="21"/>
      <w:szCs w:val="21"/>
    </w:rPr>
  </w:style>
  <w:style w:type="character" w:customStyle="1" w:styleId="CharChar221">
    <w:name w:val="Char Char221"/>
    <w:qFormat/>
    <w:rPr>
      <w:rFonts w:ascii="宋体"/>
      <w:b/>
      <w:bCs/>
      <w:kern w:val="2"/>
      <w:sz w:val="21"/>
    </w:rPr>
  </w:style>
  <w:style w:type="character" w:customStyle="1" w:styleId="text12px">
    <w:name w:val="text12px"/>
    <w:qFormat/>
  </w:style>
  <w:style w:type="character" w:customStyle="1" w:styleId="nolink1">
    <w:name w:val="nolink1"/>
    <w:qFormat/>
  </w:style>
  <w:style w:type="character" w:customStyle="1" w:styleId="Charf">
    <w:name w:val="无间隔 Char"/>
    <w:link w:val="1a"/>
    <w:uiPriority w:val="1"/>
    <w:qFormat/>
    <w:rPr>
      <w:rFonts w:ascii="Calibri" w:hAnsi="Calibri"/>
      <w:sz w:val="22"/>
    </w:rPr>
  </w:style>
  <w:style w:type="paragraph" w:customStyle="1" w:styleId="1a">
    <w:name w:val="无间隔1"/>
    <w:link w:val="Charf"/>
    <w:uiPriority w:val="1"/>
    <w:qFormat/>
    <w:rPr>
      <w:rFonts w:ascii="Calibri" w:eastAsiaTheme="minorEastAsia" w:hAnsi="Calibri" w:cstheme="minorBidi"/>
      <w:kern w:val="2"/>
      <w:sz w:val="22"/>
      <w:szCs w:val="22"/>
    </w:rPr>
  </w:style>
  <w:style w:type="character" w:customStyle="1" w:styleId="CharChar23">
    <w:name w:val="Char Char23"/>
    <w:qFormat/>
    <w:rPr>
      <w:rFonts w:ascii="宋体"/>
      <w:kern w:val="2"/>
      <w:sz w:val="21"/>
      <w:shd w:val="clear" w:color="auto" w:fill="000080"/>
    </w:rPr>
  </w:style>
  <w:style w:type="character" w:customStyle="1" w:styleId="LegalLevel11CharChar">
    <w:name w:val="Legal Level 1.1. Char Char"/>
    <w:qFormat/>
    <w:rPr>
      <w:rFonts w:ascii="仿宋_GB2312" w:eastAsia="仿宋_GB2312"/>
      <w:b/>
      <w:sz w:val="32"/>
    </w:rPr>
  </w:style>
  <w:style w:type="character" w:customStyle="1" w:styleId="CharChar151">
    <w:name w:val="Char Char151"/>
    <w:qFormat/>
    <w:rPr>
      <w:rFonts w:ascii="仿宋_GB2312" w:eastAsia="仿宋_GB2312" w:hAnsi="Times New Roman" w:cs="Times New Roman"/>
      <w:b/>
      <w:kern w:val="0"/>
      <w:sz w:val="32"/>
      <w:szCs w:val="20"/>
    </w:rPr>
  </w:style>
  <w:style w:type="character" w:customStyle="1" w:styleId="2CharChar">
    <w:name w:val="正文文字 2 Char Char"/>
    <w:qFormat/>
    <w:rPr>
      <w:kern w:val="2"/>
      <w:sz w:val="21"/>
    </w:rPr>
  </w:style>
  <w:style w:type="character" w:customStyle="1" w:styleId="ht1">
    <w:name w:val="ht1"/>
    <w:qFormat/>
    <w:rPr>
      <w:rFonts w:ascii="黑体" w:eastAsia="黑体"/>
      <w:b/>
      <w:bCs/>
    </w:rPr>
  </w:style>
  <w:style w:type="character" w:customStyle="1" w:styleId="3Char10">
    <w:name w:val="正文文字缩进 3 Char1"/>
    <w:qFormat/>
    <w:rPr>
      <w:rFonts w:ascii="仿宋_GB2312" w:eastAsia="仿宋_GB2312"/>
      <w:sz w:val="28"/>
      <w:lang w:val="en-US" w:eastAsia="zh-CN" w:bidi="ar-SA"/>
    </w:rPr>
  </w:style>
  <w:style w:type="character" w:customStyle="1" w:styleId="Charf0">
    <w:name w:val="正文文本 Char"/>
    <w:qFormat/>
    <w:rPr>
      <w:rFonts w:ascii="幼圆" w:eastAsia="幼圆"/>
      <w:kern w:val="2"/>
      <w:sz w:val="15"/>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0"/>
    <w:next w:val="a0"/>
    <w:link w:val="z-Char"/>
    <w:qFormat/>
    <w:pPr>
      <w:widowControl/>
      <w:pBdr>
        <w:top w:val="single" w:sz="6" w:space="1" w:color="auto"/>
      </w:pBdr>
      <w:jc w:val="center"/>
    </w:pPr>
    <w:rPr>
      <w:rFonts w:ascii="Arial" w:hAnsi="Arial"/>
      <w:vanish/>
      <w:sz w:val="16"/>
      <w:szCs w:val="16"/>
    </w:rPr>
  </w:style>
  <w:style w:type="character" w:customStyle="1" w:styleId="Char8">
    <w:name w:val="签名 Char"/>
    <w:link w:val="af3"/>
    <w:qFormat/>
    <w:rPr>
      <w:szCs w:val="24"/>
    </w:rPr>
  </w:style>
  <w:style w:type="character" w:customStyle="1" w:styleId="1b">
    <w:name w:val="签名 字符1"/>
    <w:basedOn w:val="a2"/>
    <w:uiPriority w:val="99"/>
    <w:semiHidden/>
    <w:qFormat/>
  </w:style>
  <w:style w:type="character" w:customStyle="1" w:styleId="style4">
    <w:name w:val="style4"/>
    <w:qFormat/>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Char11">
    <w:name w:val="正文文本缩进 Char1"/>
    <w:qFormat/>
    <w:rPr>
      <w:rFonts w:eastAsia="楷体_GB2312"/>
      <w:b/>
      <w:sz w:val="28"/>
    </w:rPr>
  </w:style>
  <w:style w:type="character" w:customStyle="1" w:styleId="BodytextChar">
    <w:name w:val="!Bodytext Char"/>
    <w:link w:val="Bodytext"/>
    <w:qFormat/>
    <w:rPr>
      <w:rFonts w:ascii="宋体"/>
      <w:sz w:val="22"/>
    </w:rPr>
  </w:style>
  <w:style w:type="paragraph" w:customStyle="1" w:styleId="Bodytext">
    <w:name w:val="!Bodytext"/>
    <w:basedOn w:val="a0"/>
    <w:link w:val="BodytextChar"/>
    <w:qFormat/>
    <w:pPr>
      <w:widowControl/>
      <w:overflowPunct w:val="0"/>
      <w:autoSpaceDE w:val="0"/>
      <w:autoSpaceDN w:val="0"/>
      <w:adjustRightInd w:val="0"/>
      <w:spacing w:after="220"/>
      <w:textAlignment w:val="baseline"/>
    </w:pPr>
    <w:rPr>
      <w:rFonts w:ascii="宋体"/>
      <w:sz w:val="22"/>
    </w:rPr>
  </w:style>
  <w:style w:type="character" w:customStyle="1" w:styleId="CharChar261">
    <w:name w:val="Char Char261"/>
    <w:qFormat/>
    <w:rPr>
      <w:sz w:val="18"/>
    </w:rPr>
  </w:style>
  <w:style w:type="character" w:customStyle="1" w:styleId="CharChar16">
    <w:name w:val="Char Char16"/>
    <w:qFormat/>
    <w:rPr>
      <w:rFonts w:ascii="黑体" w:eastAsia="黑体" w:hAnsi="Times New Roman" w:cs="Times New Roman"/>
      <w:b/>
      <w:spacing w:val="-2"/>
      <w:kern w:val="18"/>
      <w:sz w:val="24"/>
      <w:szCs w:val="20"/>
    </w:rPr>
  </w:style>
  <w:style w:type="character" w:customStyle="1" w:styleId="2Char2">
    <w:name w:val="正文首行缩进 2 Char"/>
    <w:link w:val="27"/>
    <w:qFormat/>
    <w:rPr>
      <w:rFonts w:eastAsia="楷体_GB2312"/>
    </w:rPr>
  </w:style>
  <w:style w:type="character" w:customStyle="1" w:styleId="211">
    <w:name w:val="正文首行缩进 2 字符1"/>
    <w:basedOn w:val="Char21"/>
    <w:uiPriority w:val="99"/>
    <w:semiHidden/>
    <w:qFormat/>
    <w:rPr>
      <w:rFonts w:ascii="Times New Roman" w:eastAsia="楷体_GB2312" w:hAnsi="Times New Roman" w:cs="Times New Roman"/>
      <w:b/>
      <w:kern w:val="0"/>
      <w:sz w:val="28"/>
      <w:szCs w:val="20"/>
    </w:rPr>
  </w:style>
  <w:style w:type="character" w:customStyle="1" w:styleId="CharChar22">
    <w:name w:val="Char Char22"/>
    <w:qFormat/>
    <w:rPr>
      <w:rFonts w:ascii="宋体"/>
      <w:b/>
      <w:bCs/>
      <w:kern w:val="2"/>
      <w:sz w:val="21"/>
    </w:rPr>
  </w:style>
  <w:style w:type="character" w:customStyle="1" w:styleId="CharChar13">
    <w:name w:val="Char Char13"/>
    <w:qFormat/>
    <w:rPr>
      <w:rFonts w:ascii="黑体" w:eastAsia="黑体" w:hAnsi="Times New Roman" w:cs="Times New Roman"/>
      <w:kern w:val="0"/>
      <w:szCs w:val="20"/>
    </w:rPr>
  </w:style>
  <w:style w:type="character" w:customStyle="1" w:styleId="lineheigh201">
    <w:name w:val="lineheigh201"/>
    <w:qFormat/>
  </w:style>
  <w:style w:type="character" w:customStyle="1" w:styleId="2a">
    <w:name w:val="中等深浅网格 2字符"/>
    <w:link w:val="212"/>
    <w:uiPriority w:val="1"/>
    <w:qFormat/>
    <w:rPr>
      <w:rFonts w:ascii="Calibri" w:hAnsi="Calibri"/>
      <w:sz w:val="22"/>
    </w:rPr>
  </w:style>
  <w:style w:type="paragraph" w:customStyle="1" w:styleId="212">
    <w:name w:val="中等深浅网格 21"/>
    <w:link w:val="2a"/>
    <w:uiPriority w:val="1"/>
    <w:qFormat/>
    <w:rPr>
      <w:rFonts w:ascii="Calibri" w:eastAsiaTheme="minorEastAsia" w:hAnsi="Calibri" w:cstheme="minorBidi"/>
      <w:kern w:val="2"/>
      <w:sz w:val="22"/>
      <w:szCs w:val="22"/>
    </w:rPr>
  </w:style>
  <w:style w:type="character" w:customStyle="1" w:styleId="Char0">
    <w:name w:val="列表项目符号 Char"/>
    <w:link w:val="a6"/>
    <w:qFormat/>
    <w:rPr>
      <w:szCs w:val="24"/>
    </w:rPr>
  </w:style>
  <w:style w:type="character" w:customStyle="1" w:styleId="Char30">
    <w:name w:val="Char3"/>
    <w:qFormat/>
    <w:rPr>
      <w:rFonts w:ascii="宋体" w:eastAsia="宋体" w:hAnsi="宋体" w:cs="宋体"/>
      <w:sz w:val="24"/>
      <w:szCs w:val="24"/>
      <w:lang w:val="en-US" w:eastAsia="zh-CN" w:bidi="ar-SA"/>
    </w:rPr>
  </w:style>
  <w:style w:type="character" w:customStyle="1" w:styleId="style17">
    <w:name w:val="style17"/>
    <w:qFormat/>
  </w:style>
  <w:style w:type="character" w:customStyle="1" w:styleId="CharChar141">
    <w:name w:val="Char Char141"/>
    <w:qFormat/>
    <w:rPr>
      <w:rFonts w:ascii="黑体" w:eastAsia="黑体" w:hAnsi="Times New Roman" w:cs="Times New Roman"/>
      <w:kern w:val="0"/>
      <w:sz w:val="32"/>
      <w:szCs w:val="20"/>
    </w:rPr>
  </w:style>
  <w:style w:type="character" w:customStyle="1" w:styleId="Chard">
    <w:name w:val="正文首行缩进 Char"/>
    <w:link w:val="afa"/>
    <w:qFormat/>
    <w:rPr>
      <w:rFonts w:ascii="仿宋_GB2312" w:eastAsia="仿宋_GB2312"/>
      <w:sz w:val="28"/>
    </w:rPr>
  </w:style>
  <w:style w:type="character" w:customStyle="1" w:styleId="1c">
    <w:name w:val="正文首行缩进 字符1"/>
    <w:basedOn w:val="Char20"/>
    <w:uiPriority w:val="99"/>
    <w:semiHidden/>
    <w:qFormat/>
    <w:rPr>
      <w:rFonts w:ascii="Times New Roman" w:eastAsia="宋体" w:hAnsi="Times New Roman" w:cs="Times New Roman"/>
      <w:kern w:val="0"/>
      <w:sz w:val="30"/>
      <w:szCs w:val="20"/>
    </w:rPr>
  </w:style>
  <w:style w:type="character" w:customStyle="1" w:styleId="CharChar121">
    <w:name w:val="Char Char121"/>
    <w:qFormat/>
    <w:rPr>
      <w:rFonts w:ascii="宋体" w:eastAsia="宋体" w:hAnsi="Times New Roman" w:cs="Times New Roman"/>
      <w:i/>
      <w:kern w:val="0"/>
      <w:szCs w:val="20"/>
    </w:rPr>
  </w:style>
  <w:style w:type="character" w:customStyle="1" w:styleId="3CharChar1">
    <w:name w:val="正文文字缩进 3 Char Char1"/>
    <w:qFormat/>
    <w:rPr>
      <w:rFonts w:ascii="仿宋_GB2312" w:eastAsia="仿宋_GB2312"/>
      <w:sz w:val="28"/>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0"/>
    <w:next w:val="a0"/>
    <w:link w:val="z-Char0"/>
    <w:qFormat/>
    <w:pPr>
      <w:widowControl/>
      <w:pBdr>
        <w:bottom w:val="single" w:sz="6" w:space="1" w:color="auto"/>
      </w:pBdr>
      <w:jc w:val="center"/>
    </w:pPr>
    <w:rPr>
      <w:rFonts w:ascii="Arial" w:hAnsi="Arial" w:cs="Arial"/>
      <w:vanish/>
      <w:sz w:val="16"/>
      <w:szCs w:val="16"/>
    </w:rPr>
  </w:style>
  <w:style w:type="character" w:customStyle="1" w:styleId="text1">
    <w:name w:val="text1"/>
    <w:qFormat/>
    <w:rPr>
      <w:rFonts w:ascii="宋体" w:eastAsia="宋体" w:hAnsi="宋体" w:hint="eastAsia"/>
      <w:color w:val="000000"/>
      <w:sz w:val="21"/>
      <w:szCs w:val="21"/>
    </w:rPr>
  </w:style>
  <w:style w:type="character" w:customStyle="1" w:styleId="CharChar17">
    <w:name w:val="Char Char17"/>
    <w:qFormat/>
    <w:rPr>
      <w:rFonts w:ascii="黑体" w:eastAsia="黑体" w:hAnsi="Times New Roman" w:cs="Times New Roman"/>
      <w:b/>
      <w:spacing w:val="-2"/>
      <w:kern w:val="18"/>
      <w:sz w:val="28"/>
      <w:szCs w:val="20"/>
    </w:rPr>
  </w:style>
  <w:style w:type="character" w:customStyle="1" w:styleId="CharChar91">
    <w:name w:val="Char Char91"/>
    <w:qFormat/>
    <w:rPr>
      <w:rFonts w:ascii="仿宋_GB2312" w:eastAsia="仿宋_GB2312" w:hAnsi="Times New Roman" w:cs="Times New Roman"/>
      <w:sz w:val="28"/>
      <w:szCs w:val="20"/>
    </w:rPr>
  </w:style>
  <w:style w:type="character" w:customStyle="1" w:styleId="yuCharCharChar">
    <w:name w:val="正文yu Char Char Char"/>
    <w:qFormat/>
    <w:rPr>
      <w:rFonts w:ascii="宋体" w:eastAsia="宋体" w:hAnsi="宋体"/>
      <w:kern w:val="2"/>
      <w:sz w:val="28"/>
      <w:szCs w:val="28"/>
      <w:lang w:val="en-US" w:eastAsia="zh-CN" w:bidi="ar-SA"/>
    </w:rPr>
  </w:style>
  <w:style w:type="character" w:customStyle="1" w:styleId="CharChar81">
    <w:name w:val="Char Char81"/>
    <w:qFormat/>
    <w:rPr>
      <w:rFonts w:ascii="宋体" w:eastAsia="宋体" w:hAnsi="Times New Roman" w:cs="Times New Roman"/>
      <w:color w:val="000000"/>
      <w:sz w:val="28"/>
      <w:szCs w:val="20"/>
    </w:rPr>
  </w:style>
  <w:style w:type="character" w:customStyle="1" w:styleId="style271">
    <w:name w:val="style271"/>
    <w:qFormat/>
  </w:style>
  <w:style w:type="character" w:customStyle="1" w:styleId="CharChar1">
    <w:name w:val="Char Char1"/>
    <w:qFormat/>
    <w:rPr>
      <w:rFonts w:ascii="宋体" w:eastAsia="宋体" w:hAnsi="Courier New"/>
      <w:kern w:val="2"/>
      <w:sz w:val="21"/>
      <w:lang w:val="en-US" w:eastAsia="zh-CN" w:bidi="ar-SA"/>
    </w:rPr>
  </w:style>
  <w:style w:type="character" w:customStyle="1" w:styleId="style31">
    <w:name w:val="style31"/>
    <w:qFormat/>
    <w:rPr>
      <w:sz w:val="24"/>
      <w:szCs w:val="24"/>
    </w:rPr>
  </w:style>
  <w:style w:type="character" w:customStyle="1" w:styleId="CharChar14">
    <w:name w:val="Char Char14"/>
    <w:qFormat/>
    <w:rPr>
      <w:rFonts w:ascii="黑体" w:eastAsia="黑体" w:hAnsi="Times New Roman" w:cs="Times New Roman"/>
      <w:kern w:val="0"/>
      <w:sz w:val="32"/>
      <w:szCs w:val="20"/>
    </w:rPr>
  </w:style>
  <w:style w:type="character" w:customStyle="1" w:styleId="CharChar271">
    <w:name w:val="Char Char271"/>
    <w:qFormat/>
    <w:rPr>
      <w:rFonts w:ascii="黑体" w:eastAsia="黑体"/>
      <w:b/>
      <w:spacing w:val="-2"/>
      <w:kern w:val="18"/>
      <w:sz w:val="24"/>
    </w:rPr>
  </w:style>
  <w:style w:type="character" w:customStyle="1" w:styleId="affd">
    <w:name w:val="货币"/>
    <w:qFormat/>
    <w:rPr>
      <w:rFonts w:ascii="Times New Roman" w:eastAsia="宋体" w:hAnsi="Times New Roman"/>
      <w:i/>
      <w:sz w:val="28"/>
    </w:rPr>
  </w:style>
  <w:style w:type="character" w:customStyle="1" w:styleId="CharChar26">
    <w:name w:val="Char Char26"/>
    <w:qFormat/>
    <w:rPr>
      <w:sz w:val="18"/>
    </w:rPr>
  </w:style>
  <w:style w:type="character" w:customStyle="1" w:styleId="font12-blue-bold1">
    <w:name w:val="font12-blue-bold1"/>
    <w:qFormat/>
    <w:rPr>
      <w:b/>
      <w:bCs/>
      <w:color w:val="0249A5"/>
      <w:sz w:val="18"/>
      <w:szCs w:val="18"/>
      <w:u w:val="none"/>
    </w:rPr>
  </w:style>
  <w:style w:type="character" w:customStyle="1" w:styleId="oblogtext">
    <w:name w:val="oblog_text"/>
    <w:qFormat/>
  </w:style>
  <w:style w:type="character" w:customStyle="1" w:styleId="CharChar181">
    <w:name w:val="Char Char181"/>
    <w:qFormat/>
    <w:rPr>
      <w:rFonts w:ascii="Arial" w:eastAsia="仿宋_GB2312" w:hAnsi="Times New Roman" w:cs="Times New Roman"/>
      <w:b/>
      <w:spacing w:val="-2"/>
      <w:kern w:val="18"/>
      <w:sz w:val="32"/>
      <w:szCs w:val="24"/>
    </w:rPr>
  </w:style>
  <w:style w:type="character" w:customStyle="1" w:styleId="unnamed4">
    <w:name w:val="unnamed4"/>
    <w:qFormat/>
  </w:style>
  <w:style w:type="character" w:customStyle="1" w:styleId="CharChar111">
    <w:name w:val="Char Char111"/>
    <w:qFormat/>
    <w:rPr>
      <w:rFonts w:ascii="宋体" w:eastAsia="宋体" w:hAnsi="Times New Roman" w:cs="Times New Roman"/>
      <w:szCs w:val="20"/>
    </w:rPr>
  </w:style>
  <w:style w:type="character" w:customStyle="1" w:styleId="SectionHeadingCharChar1">
    <w:name w:val="Section Heading Char Char1"/>
    <w:qFormat/>
    <w:rPr>
      <w:b/>
      <w:kern w:val="44"/>
      <w:sz w:val="44"/>
    </w:rPr>
  </w:style>
  <w:style w:type="character" w:customStyle="1" w:styleId="f31">
    <w:name w:val="f31"/>
    <w:qFormat/>
    <w:rPr>
      <w:spacing w:val="375"/>
      <w:sz w:val="18"/>
      <w:szCs w:val="18"/>
      <w:u w:val="none"/>
    </w:rPr>
  </w:style>
  <w:style w:type="character" w:customStyle="1" w:styleId="CharChar11">
    <w:name w:val="Char Char11"/>
    <w:qFormat/>
    <w:rPr>
      <w:rFonts w:ascii="宋体" w:eastAsia="宋体" w:hAnsi="Times New Roman" w:cs="Times New Roman"/>
      <w:szCs w:val="20"/>
    </w:rPr>
  </w:style>
  <w:style w:type="character" w:customStyle="1" w:styleId="CharChar">
    <w:name w:val="正文文字缩进 Char Char"/>
    <w:qFormat/>
    <w:rPr>
      <w:rFonts w:ascii="仿宋_GB2312" w:eastAsia="仿宋_GB2312"/>
      <w:kern w:val="2"/>
      <w:sz w:val="28"/>
    </w:rPr>
  </w:style>
  <w:style w:type="character" w:customStyle="1" w:styleId="Charf1">
    <w:name w:val="正文文本缩进 Char"/>
    <w:qFormat/>
    <w:rPr>
      <w:rFonts w:ascii="仿宋_GB2312" w:eastAsia="仿宋_GB2312"/>
      <w:sz w:val="28"/>
      <w:lang w:val="zh-CN" w:eastAsia="zh-CN" w:bidi="ar-SA"/>
    </w:rPr>
  </w:style>
  <w:style w:type="character" w:customStyle="1" w:styleId="font41">
    <w:name w:val="font41"/>
    <w:basedOn w:val="a2"/>
    <w:qFormat/>
    <w:rPr>
      <w:rFonts w:ascii="宋体" w:eastAsia="宋体" w:hAnsi="宋体" w:cs="宋体" w:hint="eastAsia"/>
      <w:color w:val="000000"/>
      <w:sz w:val="18"/>
      <w:szCs w:val="18"/>
      <w:u w:val="none"/>
    </w:rPr>
  </w:style>
  <w:style w:type="character" w:customStyle="1" w:styleId="ng-scope">
    <w:name w:val="ng-scope"/>
    <w:basedOn w:val="a2"/>
    <w:qFormat/>
  </w:style>
  <w:style w:type="character" w:customStyle="1" w:styleId="big1">
    <w:name w:val="big1"/>
    <w:qFormat/>
    <w:rPr>
      <w:sz w:val="30"/>
      <w:szCs w:val="30"/>
    </w:rPr>
  </w:style>
  <w:style w:type="character" w:customStyle="1" w:styleId="LegalLevel1111CharChar">
    <w:name w:val="Legal Level 1.1.1.1. Char Char"/>
    <w:qFormat/>
    <w:rPr>
      <w:rFonts w:ascii="黑体" w:eastAsia="黑体"/>
      <w:sz w:val="21"/>
    </w:rPr>
  </w:style>
  <w:style w:type="character" w:customStyle="1" w:styleId="BodyTextxCharChar">
    <w:name w:val="Body Text x Char Char"/>
    <w:qFormat/>
    <w:rPr>
      <w:rFonts w:ascii="幼圆" w:eastAsia="幼圆"/>
      <w:kern w:val="2"/>
      <w:sz w:val="15"/>
    </w:rPr>
  </w:style>
  <w:style w:type="character" w:customStyle="1" w:styleId="CharChar15">
    <w:name w:val="Char Char15"/>
    <w:qFormat/>
    <w:rPr>
      <w:rFonts w:ascii="仿宋_GB2312" w:eastAsia="仿宋_GB2312" w:hAnsi="Times New Roman" w:cs="Times New Roman"/>
      <w:b/>
      <w:kern w:val="0"/>
      <w:sz w:val="32"/>
      <w:szCs w:val="20"/>
    </w:rPr>
  </w:style>
  <w:style w:type="character" w:customStyle="1" w:styleId="CharChar0">
    <w:name w:val="Char Char"/>
    <w:qFormat/>
    <w:rPr>
      <w:rFonts w:ascii="宋体" w:eastAsia="宋体" w:hAnsi="Courier New"/>
      <w:kern w:val="2"/>
      <w:sz w:val="21"/>
      <w:lang w:val="en-US" w:eastAsia="zh-CN" w:bidi="ar-SA"/>
    </w:rPr>
  </w:style>
  <w:style w:type="character" w:customStyle="1" w:styleId="CharChar27">
    <w:name w:val="Char Char27"/>
    <w:qFormat/>
    <w:rPr>
      <w:rFonts w:ascii="黑体" w:eastAsia="黑体"/>
      <w:b/>
      <w:spacing w:val="-2"/>
      <w:kern w:val="18"/>
      <w:sz w:val="24"/>
    </w:rPr>
  </w:style>
  <w:style w:type="character" w:customStyle="1" w:styleId="z42">
    <w:name w:val="z42"/>
    <w:qFormat/>
    <w:rPr>
      <w:sz w:val="18"/>
      <w:szCs w:val="18"/>
    </w:rPr>
  </w:style>
  <w:style w:type="character" w:customStyle="1" w:styleId="read1">
    <w:name w:val="read1"/>
    <w:qFormat/>
    <w:rPr>
      <w:rFonts w:ascii="宋体" w:eastAsia="宋体" w:hAnsi="宋体" w:hint="eastAsia"/>
      <w:color w:val="000000"/>
      <w:sz w:val="21"/>
      <w:szCs w:val="21"/>
      <w:u w:val="none"/>
    </w:rPr>
  </w:style>
  <w:style w:type="character" w:customStyle="1" w:styleId="310">
    <w:name w:val="无格式表格 31"/>
    <w:uiPriority w:val="19"/>
    <w:qFormat/>
    <w:rPr>
      <w:rFonts w:eastAsia="宋体" w:cs="Times New Roman"/>
      <w:i/>
      <w:iCs/>
      <w:color w:val="808080"/>
      <w:szCs w:val="22"/>
      <w:lang w:eastAsia="zh-CN"/>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CharChar18">
    <w:name w:val="Char Char18"/>
    <w:qFormat/>
    <w:rPr>
      <w:rFonts w:ascii="Arial" w:eastAsia="仿宋_GB2312" w:hAnsi="Times New Roman" w:cs="Times New Roman"/>
      <w:b/>
      <w:spacing w:val="-2"/>
      <w:kern w:val="18"/>
      <w:sz w:val="32"/>
      <w:szCs w:val="24"/>
    </w:rPr>
  </w:style>
  <w:style w:type="character" w:customStyle="1" w:styleId="font1">
    <w:name w:val="font1"/>
    <w:qFormat/>
    <w:rPr>
      <w:color w:val="000000"/>
      <w:sz w:val="24"/>
      <w:szCs w:val="24"/>
    </w:rPr>
  </w:style>
  <w:style w:type="character" w:customStyle="1" w:styleId="4ArialNarrowGB231200Char">
    <w:name w:val="样式 标题 4 + (西文) Arial Narrow (中文) 仿宋_GB2312 段前: 0 磅 段后: 0 磅 行... Char"/>
    <w:link w:val="4ArialNarrowGB231200"/>
    <w:qFormat/>
    <w:rPr>
      <w:rFonts w:ascii="Arial Narrow" w:eastAsia="仿宋_GB2312" w:hAnsi="Arial Narrow" w:cs="宋体"/>
      <w:bCs/>
      <w:sz w:val="28"/>
    </w:rPr>
  </w:style>
  <w:style w:type="paragraph" w:customStyle="1" w:styleId="4ArialNarrowGB231200">
    <w:name w:val="样式 标题 4 + (西文) Arial Narrow (中文) 仿宋_GB2312 段前: 0 磅 段后: 0 磅 行..."/>
    <w:basedOn w:val="4"/>
    <w:link w:val="4ArialNarrowGB231200Char"/>
    <w:qFormat/>
    <w:pPr>
      <w:spacing w:before="0" w:after="0" w:line="360" w:lineRule="auto"/>
      <w:ind w:firstLineChars="200" w:firstLine="560"/>
    </w:pPr>
    <w:rPr>
      <w:rFonts w:ascii="Arial Narrow" w:eastAsia="仿宋_GB2312" w:hAnsi="Arial Narrow" w:cs="宋体"/>
      <w:b w:val="0"/>
      <w:bCs/>
      <w:szCs w:val="22"/>
    </w:rPr>
  </w:style>
  <w:style w:type="character" w:customStyle="1" w:styleId="CharChar161">
    <w:name w:val="Char Char161"/>
    <w:qFormat/>
    <w:rPr>
      <w:rFonts w:ascii="黑体" w:eastAsia="黑体" w:hAnsi="Times New Roman" w:cs="Times New Roman"/>
      <w:b/>
      <w:spacing w:val="-2"/>
      <w:kern w:val="18"/>
      <w:sz w:val="24"/>
      <w:szCs w:val="20"/>
    </w:rPr>
  </w:style>
  <w:style w:type="character" w:customStyle="1" w:styleId="3Char2">
    <w:name w:val="正文文字缩进 3 Char2"/>
    <w:qFormat/>
    <w:rPr>
      <w:rFonts w:ascii="仿宋_GB2312" w:eastAsia="仿宋_GB2312"/>
      <w:sz w:val="28"/>
      <w:lang w:val="en-US" w:eastAsia="zh-CN" w:bidi="ar-SA"/>
    </w:rPr>
  </w:style>
  <w:style w:type="character" w:customStyle="1" w:styleId="LegalLevel111CharChar">
    <w:name w:val="Legal Level 1.1.1. Char Char"/>
    <w:qFormat/>
    <w:rPr>
      <w:rFonts w:ascii="黑体" w:eastAsia="黑体"/>
      <w:sz w:val="32"/>
    </w:rPr>
  </w:style>
  <w:style w:type="character" w:customStyle="1" w:styleId="2Char10">
    <w:name w:val="正文首行缩进 2 Char1"/>
    <w:basedOn w:val="Char21"/>
    <w:qFormat/>
    <w:rPr>
      <w:rFonts w:ascii="Times New Roman" w:eastAsia="楷体_GB2312" w:hAnsi="Times New Roman" w:cs="Times New Roman"/>
      <w:b/>
      <w:kern w:val="2"/>
      <w:sz w:val="21"/>
      <w:szCs w:val="20"/>
    </w:rPr>
  </w:style>
  <w:style w:type="character" w:customStyle="1" w:styleId="Char12">
    <w:name w:val="正文首行缩进 Char1"/>
    <w:basedOn w:val="Char20"/>
    <w:qFormat/>
    <w:rPr>
      <w:rFonts w:ascii="Times New Roman" w:eastAsia="宋体" w:hAnsi="Times New Roman" w:cs="Times New Roman"/>
      <w:kern w:val="2"/>
      <w:sz w:val="21"/>
      <w:szCs w:val="20"/>
    </w:rPr>
  </w:style>
  <w:style w:type="character" w:customStyle="1" w:styleId="Char13">
    <w:name w:val="签名 Char1"/>
    <w:basedOn w:val="a2"/>
    <w:qFormat/>
    <w:rPr>
      <w:kern w:val="2"/>
      <w:sz w:val="21"/>
    </w:rPr>
  </w:style>
  <w:style w:type="paragraph" w:customStyle="1" w:styleId="xl359">
    <w:name w:val="xl3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320">
    <w:name w:val="正文32"/>
    <w:qFormat/>
    <w:pPr>
      <w:widowControl w:val="0"/>
      <w:adjustRightInd w:val="0"/>
      <w:spacing w:line="360" w:lineRule="auto"/>
      <w:ind w:firstLine="561"/>
      <w:jc w:val="both"/>
      <w:textAlignment w:val="baseline"/>
    </w:pPr>
    <w:rPr>
      <w:rFonts w:ascii="宋体"/>
      <w:sz w:val="28"/>
    </w:rPr>
  </w:style>
  <w:style w:type="paragraph" w:customStyle="1" w:styleId="affe">
    <w:name w:val="×??Ó¡À¡§ºÌ"/>
    <w:basedOn w:val="a0"/>
    <w:qFormat/>
    <w:pPr>
      <w:widowControl/>
      <w:overflowPunct w:val="0"/>
      <w:autoSpaceDE w:val="0"/>
      <w:autoSpaceDN w:val="0"/>
      <w:adjustRightInd w:val="0"/>
      <w:spacing w:after="140" w:line="360" w:lineRule="auto"/>
      <w:ind w:left="-383"/>
      <w:textAlignment w:val="baseline"/>
    </w:pPr>
    <w:rPr>
      <w:rFonts w:ascii="Arial" w:eastAsia="宋体" w:hAnsi="Arial" w:cs="Arial"/>
      <w:kern w:val="0"/>
      <w:sz w:val="28"/>
      <w:szCs w:val="28"/>
    </w:rPr>
  </w:style>
  <w:style w:type="paragraph" w:customStyle="1" w:styleId="xl106">
    <w:name w:val="xl10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355">
    <w:name w:val="xl35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0">
    <w:name w:val="xl3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22">
    <w:name w:val="xl3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97">
    <w:name w:val="xl9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336">
    <w:name w:val="xl3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
    <w:name w:val="表格文字"/>
    <w:basedOn w:val="a0"/>
    <w:qFormat/>
    <w:pPr>
      <w:spacing w:before="40" w:after="40"/>
      <w:jc w:val="center"/>
    </w:pPr>
    <w:rPr>
      <w:rFonts w:ascii="Garamond" w:eastAsia="仿宋_GB2312" w:hAnsi="Garamond" w:cs="Times New Roman"/>
      <w:sz w:val="24"/>
      <w:szCs w:val="20"/>
    </w:rPr>
  </w:style>
  <w:style w:type="paragraph" w:customStyle="1" w:styleId="xl369">
    <w:name w:val="xl3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3-">
    <w:name w:val="×Ó±êÌâ3-×¢ÊÍ"/>
    <w:basedOn w:val="a0"/>
    <w:qFormat/>
    <w:pPr>
      <w:widowControl/>
      <w:tabs>
        <w:tab w:val="left" w:pos="595"/>
        <w:tab w:val="center" w:pos="2245"/>
        <w:tab w:val="center" w:pos="6497"/>
      </w:tabs>
      <w:overflowPunct w:val="0"/>
      <w:autoSpaceDE w:val="0"/>
      <w:autoSpaceDN w:val="0"/>
      <w:adjustRightInd w:val="0"/>
      <w:spacing w:after="120" w:line="360" w:lineRule="auto"/>
      <w:ind w:left="-383"/>
    </w:pPr>
    <w:rPr>
      <w:rFonts w:ascii="Times New Roman" w:eastAsia="宋体" w:hAnsi="Times New Roman" w:cs="Times New Roman"/>
      <w:kern w:val="0"/>
      <w:sz w:val="24"/>
      <w:szCs w:val="20"/>
    </w:rPr>
  </w:style>
  <w:style w:type="paragraph" w:customStyle="1" w:styleId="3-0">
    <w:name w:val="子标题3-注释"/>
    <w:basedOn w:val="a0"/>
    <w:qFormat/>
    <w:pPr>
      <w:tabs>
        <w:tab w:val="left" w:pos="595"/>
        <w:tab w:val="center" w:pos="2245"/>
        <w:tab w:val="center" w:pos="6497"/>
      </w:tabs>
      <w:autoSpaceDE w:val="0"/>
      <w:autoSpaceDN w:val="0"/>
      <w:adjustRightInd w:val="0"/>
      <w:spacing w:after="140" w:line="432" w:lineRule="exact"/>
      <w:ind w:firstLine="595"/>
    </w:pPr>
    <w:rPr>
      <w:rFonts w:ascii="Times New Roman" w:eastAsia="宋体" w:hAnsi="Times New Roman" w:cs="Times New Roman"/>
      <w:kern w:val="0"/>
      <w:sz w:val="28"/>
      <w:szCs w:val="28"/>
    </w:rPr>
  </w:style>
  <w:style w:type="paragraph" w:customStyle="1" w:styleId="xl46">
    <w:name w:val="xl4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xl189">
    <w:name w:val="xl189"/>
    <w:basedOn w:val="a0"/>
    <w:qFormat/>
    <w:pPr>
      <w:widowControl/>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313">
    <w:name w:val="xl3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Enclosure">
    <w:name w:val="Enclosure"/>
    <w:basedOn w:val="aa"/>
    <w:next w:val="a0"/>
    <w:qFormat/>
    <w:pPr>
      <w:keepNext/>
      <w:keepLines/>
      <w:overflowPunct w:val="0"/>
      <w:autoSpaceDE w:val="0"/>
      <w:autoSpaceDN w:val="0"/>
      <w:adjustRightInd w:val="0"/>
      <w:spacing w:after="240" w:line="240" w:lineRule="atLeast"/>
      <w:jc w:val="both"/>
      <w:textAlignment w:val="baseline"/>
    </w:pPr>
    <w:rPr>
      <w:rFonts w:ascii="Garamond" w:eastAsia="仿宋_GB2312" w:hAnsi="Garamond"/>
      <w:kern w:val="18"/>
      <w:sz w:val="28"/>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afff0">
    <w:name w:val="水印"/>
    <w:basedOn w:val="a0"/>
    <w:qFormat/>
    <w:pPr>
      <w:adjustRightInd w:val="0"/>
      <w:spacing w:line="240" w:lineRule="atLeast"/>
      <w:textAlignment w:val="baseline"/>
    </w:pPr>
    <w:rPr>
      <w:rFonts w:ascii="Times New Roman" w:eastAsia="宋体" w:hAnsi="Times New Roman" w:cs="Times New Roman"/>
      <w:kern w:val="0"/>
      <w:szCs w:val="20"/>
    </w:rPr>
  </w:style>
  <w:style w:type="paragraph" w:customStyle="1" w:styleId="xl93">
    <w:name w:val="xl93"/>
    <w:basedOn w:val="a0"/>
    <w:qFormat/>
    <w:pPr>
      <w:widowControl/>
      <w:spacing w:before="100" w:beforeAutospacing="1" w:after="100" w:afterAutospacing="1"/>
      <w:jc w:val="left"/>
    </w:pPr>
    <w:rPr>
      <w:rFonts w:ascii="Arial Narrow" w:eastAsia="宋体" w:hAnsi="Arial Narrow" w:cs="宋体"/>
      <w:color w:val="000000"/>
      <w:kern w:val="0"/>
      <w:sz w:val="18"/>
      <w:szCs w:val="18"/>
    </w:rPr>
  </w:style>
  <w:style w:type="paragraph" w:customStyle="1" w:styleId="CharCharChar1">
    <w:name w:val="Char Char Char1"/>
    <w:basedOn w:val="a0"/>
    <w:qFormat/>
    <w:rPr>
      <w:rFonts w:ascii="Tahoma" w:eastAsia="宋体" w:hAnsi="Tahoma" w:cs="Times New Roman"/>
      <w:sz w:val="24"/>
      <w:szCs w:val="20"/>
    </w:rPr>
  </w:style>
  <w:style w:type="paragraph" w:customStyle="1" w:styleId="xl354">
    <w:name w:val="xl35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afff1">
    <w:name w:val="杨"/>
    <w:basedOn w:val="a0"/>
    <w:qFormat/>
    <w:pPr>
      <w:adjustRightInd w:val="0"/>
      <w:spacing w:before="60" w:after="60" w:line="380" w:lineRule="atLeast"/>
      <w:ind w:firstLine="482"/>
      <w:textAlignment w:val="baseline"/>
    </w:pPr>
    <w:rPr>
      <w:rFonts w:ascii="Arial Narrow" w:eastAsia="宋体" w:hAnsi="Arial Narrow" w:cs="Times New Roman"/>
      <w:kern w:val="0"/>
      <w:sz w:val="24"/>
      <w:szCs w:val="20"/>
    </w:rPr>
  </w:style>
  <w:style w:type="paragraph" w:customStyle="1" w:styleId="xl196">
    <w:name w:val="xl196"/>
    <w:basedOn w:val="a0"/>
    <w:qFormat/>
    <w:pPr>
      <w:widowControl/>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327">
    <w:name w:val="xl32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0"/>
    <w:qFormat/>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48">
    <w:name w:val="xl34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7">
    <w:name w:val="xl5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color w:val="000000"/>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53">
    <w:name w:val="xl353"/>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24">
    <w:name w:val="xl3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PageTitle">
    <w:name w:val="Page Title+"/>
    <w:basedOn w:val="a0"/>
    <w:next w:val="a0"/>
    <w:qFormat/>
    <w:pPr>
      <w:pageBreakBefore/>
      <w:widowControl/>
      <w:pBdr>
        <w:left w:val="single" w:sz="6" w:space="12" w:color="000000"/>
        <w:bottom w:val="single" w:sz="6" w:space="14" w:color="FFFFFF"/>
      </w:pBdr>
      <w:tabs>
        <w:tab w:val="right" w:pos="11907"/>
      </w:tabs>
      <w:spacing w:after="240"/>
      <w:jc w:val="left"/>
    </w:pPr>
    <w:rPr>
      <w:rFonts w:ascii="Arial Black" w:eastAsia="宋体" w:hAnsi="Arial Black" w:cs="Times New Roman"/>
      <w:kern w:val="0"/>
      <w:sz w:val="36"/>
      <w:szCs w:val="20"/>
    </w:rPr>
  </w:style>
  <w:style w:type="paragraph" w:customStyle="1" w:styleId="xl202">
    <w:name w:val="xl20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content">
    <w:name w:val="content"/>
    <w:basedOn w:val="a0"/>
    <w:qFormat/>
    <w:pPr>
      <w:widowControl/>
      <w:spacing w:before="100" w:beforeAutospacing="1" w:after="100" w:afterAutospacing="1" w:line="360" w:lineRule="auto"/>
    </w:pPr>
    <w:rPr>
      <w:rFonts w:ascii="宋体" w:eastAsia="宋体" w:hAnsi="宋体" w:cs="Times New Roman"/>
      <w:kern w:val="0"/>
      <w:sz w:val="18"/>
      <w:szCs w:val="18"/>
    </w:rPr>
  </w:style>
  <w:style w:type="paragraph" w:customStyle="1" w:styleId="CharCharCharCharCharCharCharCharCharCharCharCharCharCharChar1">
    <w:name w:val="Char Char Char Char Char Char Char Char Char Char Char Char Char Char Char1"/>
    <w:basedOn w:val="a0"/>
    <w:qFormat/>
    <w:rPr>
      <w:rFonts w:ascii="Tahoma" w:eastAsia="宋体" w:hAnsi="Tahoma" w:cs="Times New Roman"/>
      <w:sz w:val="24"/>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H2">
    <w:name w:val="H2"/>
    <w:basedOn w:val="a0"/>
    <w:qFormat/>
    <w:pPr>
      <w:widowControl/>
      <w:overflowPunct w:val="0"/>
      <w:autoSpaceDE w:val="0"/>
      <w:autoSpaceDN w:val="0"/>
      <w:adjustRightInd w:val="0"/>
      <w:spacing w:before="240" w:after="240" w:line="360" w:lineRule="atLeast"/>
      <w:ind w:right="28"/>
      <w:textAlignment w:val="baseline"/>
    </w:pPr>
    <w:rPr>
      <w:rFonts w:ascii="仿宋_GB2312" w:eastAsia="仿宋_GB2312" w:hAnsi="Times New Roman" w:cs="Times New Roman"/>
      <w:b/>
      <w:kern w:val="0"/>
      <w:sz w:val="28"/>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16"/>
      <w:szCs w:val="16"/>
    </w:rPr>
  </w:style>
  <w:style w:type="paragraph" w:customStyle="1" w:styleId="fig">
    <w:name w:val="fig"/>
    <w:basedOn w:val="a0"/>
    <w:qFormat/>
    <w:pPr>
      <w:overflowPunct w:val="0"/>
      <w:autoSpaceDE w:val="0"/>
      <w:autoSpaceDN w:val="0"/>
      <w:adjustRightInd w:val="0"/>
      <w:spacing w:before="120" w:after="240" w:line="360" w:lineRule="atLeast"/>
      <w:jc w:val="center"/>
      <w:textAlignment w:val="baseline"/>
    </w:pPr>
    <w:rPr>
      <w:rFonts w:ascii="黑体" w:eastAsia="黑体" w:hAnsi="Times New Roman" w:cs="Times New Roman"/>
      <w:kern w:val="0"/>
      <w:sz w:val="24"/>
      <w:szCs w:val="20"/>
    </w:rPr>
  </w:style>
  <w:style w:type="paragraph" w:customStyle="1" w:styleId="xl316">
    <w:name w:val="xl316"/>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206">
    <w:name w:val="xl20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186">
    <w:name w:val="xl18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24"/>
      <w:szCs w:val="24"/>
    </w:rPr>
  </w:style>
  <w:style w:type="paragraph" w:customStyle="1" w:styleId="xl357">
    <w:name w:val="xl3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2b">
    <w:name w:val="样式2"/>
    <w:basedOn w:val="a0"/>
    <w:next w:val="22"/>
    <w:qFormat/>
    <w:pPr>
      <w:spacing w:after="120" w:line="480" w:lineRule="auto"/>
      <w:ind w:leftChars="200" w:left="420"/>
    </w:pPr>
    <w:rPr>
      <w:rFonts w:ascii="Times New Roman" w:eastAsia="宋体" w:hAnsi="Times New Roman" w:cs="Times New Roman"/>
      <w:szCs w:val="21"/>
    </w:rPr>
  </w:style>
  <w:style w:type="paragraph" w:customStyle="1" w:styleId="xl329">
    <w:name w:val="xl32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1">
    <w:name w:val="xl3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Y">
    <w:name w:val="正文Y"/>
    <w:basedOn w:val="a0"/>
    <w:qFormat/>
    <w:pPr>
      <w:adjustRightInd w:val="0"/>
      <w:spacing w:before="40" w:after="40" w:line="360" w:lineRule="atLeast"/>
      <w:ind w:firstLine="425"/>
    </w:pPr>
    <w:rPr>
      <w:rFonts w:ascii="Arial" w:eastAsia="宋体" w:hAnsi="Arial" w:cs="Times New Roman"/>
      <w:szCs w:val="20"/>
    </w:rPr>
  </w:style>
  <w:style w:type="paragraph" w:customStyle="1" w:styleId="xl41">
    <w:name w:val="xl41"/>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textbody-c1">
    <w:name w:val="textbody-c1"/>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a">
    <w:name w:val="附 注"/>
    <w:basedOn w:val="a1"/>
    <w:qFormat/>
    <w:pPr>
      <w:numPr>
        <w:numId w:val="3"/>
      </w:numPr>
      <w:tabs>
        <w:tab w:val="left" w:pos="927"/>
      </w:tabs>
      <w:spacing w:after="60" w:line="440" w:lineRule="atLeast"/>
      <w:ind w:left="0" w:firstLine="624"/>
    </w:pPr>
    <w:rPr>
      <w:rFonts w:ascii="Garamond" w:eastAsia="仿宋_GB2312" w:hAnsi="Garamond"/>
      <w:sz w:val="28"/>
      <w:lang w:val="en-US"/>
    </w:rPr>
  </w:style>
  <w:style w:type="paragraph" w:customStyle="1" w:styleId="g1">
    <w:name w:val="g1"/>
    <w:basedOn w:val="a0"/>
    <w:qFormat/>
    <w:pPr>
      <w:widowControl/>
      <w:spacing w:before="100" w:beforeAutospacing="1" w:after="100" w:afterAutospacing="1" w:line="180" w:lineRule="atLeast"/>
      <w:jc w:val="left"/>
    </w:pPr>
    <w:rPr>
      <w:rFonts w:ascii="Arial" w:eastAsia="Arial Unicode MS" w:hAnsi="Arial" w:cs="Arial"/>
      <w:color w:val="5E5E5E"/>
      <w:kern w:val="0"/>
      <w:sz w:val="12"/>
      <w:szCs w:val="1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34">
    <w:name w:val="纯文本3"/>
    <w:basedOn w:val="a0"/>
    <w:qFormat/>
    <w:rPr>
      <w:rFonts w:ascii="宋体" w:eastAsia="宋体" w:hAnsi="Courier New" w:cs="Courier New"/>
      <w:szCs w:val="21"/>
    </w:rPr>
  </w:style>
  <w:style w:type="paragraph" w:customStyle="1" w:styleId="xl221">
    <w:name w:val="xl221"/>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Narrow" w:eastAsia="宋体" w:hAnsi="Arial Narrow" w:cs="宋体"/>
      <w:kern w:val="0"/>
      <w:sz w:val="18"/>
      <w:szCs w:val="18"/>
    </w:rPr>
  </w:style>
  <w:style w:type="paragraph" w:customStyle="1" w:styleId="DefaultText">
    <w:name w:val="Default Text"/>
    <w:basedOn w:val="a0"/>
    <w:qFormat/>
    <w:pPr>
      <w:autoSpaceDE w:val="0"/>
      <w:autoSpaceDN w:val="0"/>
      <w:adjustRightInd w:val="0"/>
      <w:spacing w:line="360" w:lineRule="auto"/>
      <w:ind w:firstLine="607"/>
    </w:pPr>
    <w:rPr>
      <w:rFonts w:ascii="Times New Roman" w:eastAsia="宋体" w:hAnsi="Times New Roman" w:cs="Times New Roman"/>
      <w:kern w:val="0"/>
      <w:sz w:val="28"/>
      <w:szCs w:val="28"/>
    </w:rPr>
  </w:style>
  <w:style w:type="paragraph" w:customStyle="1" w:styleId="43">
    <w:name w:val="4"/>
    <w:basedOn w:val="a0"/>
    <w:next w:val="22"/>
    <w:qFormat/>
    <w:pPr>
      <w:snapToGrid w:val="0"/>
      <w:spacing w:line="300" w:lineRule="auto"/>
      <w:ind w:firstLineChars="200" w:firstLine="560"/>
    </w:pPr>
    <w:rPr>
      <w:rFonts w:ascii="Times New Roman" w:eastAsia="仿宋_GB2312" w:hAnsi="Times New Roman" w:cs="Times New Roman"/>
      <w:sz w:val="28"/>
      <w:szCs w:val="24"/>
    </w:rPr>
  </w:style>
  <w:style w:type="paragraph" w:customStyle="1" w:styleId="xl92">
    <w:name w:val="xl92"/>
    <w:basedOn w:val="a0"/>
    <w:qFormat/>
    <w:pPr>
      <w:widowControl/>
      <w:spacing w:before="100" w:beforeAutospacing="1" w:after="100" w:afterAutospacing="1"/>
      <w:jc w:val="center"/>
    </w:pPr>
    <w:rPr>
      <w:rFonts w:ascii="Arial Narrow" w:eastAsia="宋体" w:hAnsi="Arial Narrow" w:cs="宋体"/>
      <w:color w:val="000000"/>
      <w:kern w:val="0"/>
      <w:sz w:val="32"/>
      <w:szCs w:val="32"/>
    </w:rPr>
  </w:style>
  <w:style w:type="paragraph" w:customStyle="1" w:styleId="style5">
    <w:name w:val="style5"/>
    <w:basedOn w:val="a0"/>
    <w:qFormat/>
    <w:pPr>
      <w:widowControl/>
      <w:spacing w:before="100" w:beforeAutospacing="1" w:after="100" w:afterAutospacing="1"/>
      <w:jc w:val="left"/>
    </w:pPr>
    <w:rPr>
      <w:rFonts w:ascii="宋体" w:eastAsia="宋体" w:hAnsi="宋体" w:cs="宋体"/>
      <w:b/>
      <w:bCs/>
      <w:color w:val="CC0000"/>
      <w:kern w:val="0"/>
      <w:sz w:val="24"/>
      <w:szCs w:val="24"/>
    </w:rPr>
  </w:style>
  <w:style w:type="paragraph" w:customStyle="1" w:styleId="2110">
    <w:name w:val="正文文本缩进 211"/>
    <w:basedOn w:val="a0"/>
    <w:qFormat/>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paragraph" w:customStyle="1" w:styleId="xl312">
    <w:name w:val="xl3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5">
    <w:name w:val="xl32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afff2">
    <w:name w:val="编号"/>
    <w:basedOn w:val="a0"/>
    <w:qFormat/>
    <w:pPr>
      <w:autoSpaceDE w:val="0"/>
      <w:autoSpaceDN w:val="0"/>
      <w:adjustRightInd w:val="0"/>
      <w:spacing w:line="360" w:lineRule="auto"/>
      <w:ind w:left="360" w:hanging="360"/>
    </w:pPr>
    <w:rPr>
      <w:rFonts w:ascii="Times New Roman" w:eastAsia="宋体" w:hAnsi="Times New Roman" w:cs="Times New Roman"/>
      <w:kern w:val="0"/>
      <w:sz w:val="28"/>
      <w:szCs w:val="28"/>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320">
    <w:name w:val="xl3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PP">
    <w:name w:val="PP 行"/>
    <w:basedOn w:val="af3"/>
    <w:qFormat/>
  </w:style>
  <w:style w:type="paragraph" w:customStyle="1" w:styleId="BodyText21">
    <w:name w:val="Body Text 21"/>
    <w:basedOn w:val="a0"/>
    <w:qFormat/>
    <w:pPr>
      <w:overflowPunct w:val="0"/>
      <w:autoSpaceDE w:val="0"/>
      <w:autoSpaceDN w:val="0"/>
      <w:adjustRightInd w:val="0"/>
      <w:textAlignment w:val="baseline"/>
    </w:pPr>
    <w:rPr>
      <w:rFonts w:ascii="宋体" w:eastAsia="宋体" w:hAnsi="Times New Roman" w:cs="Times New Roman"/>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111Bullets">
    <w:name w:val="1.1.1.1 Bullets"/>
    <w:basedOn w:val="a0"/>
    <w:qFormat/>
    <w:pPr>
      <w:widowControl/>
      <w:spacing w:before="120"/>
      <w:jc w:val="left"/>
    </w:pPr>
    <w:rPr>
      <w:rFonts w:ascii="Times New Roman" w:eastAsia="宋体" w:hAnsi="Times New Roman" w:cs="Times New Roman"/>
      <w:kern w:val="0"/>
      <w:sz w:val="22"/>
      <w:szCs w:val="20"/>
      <w:lang w:eastAsia="zh-TW"/>
    </w:rPr>
  </w:style>
  <w:style w:type="paragraph" w:customStyle="1" w:styleId="ParaCharCharCharChar">
    <w:name w:val="默认段落字体 Para Char Char Char Char"/>
    <w:basedOn w:val="a0"/>
    <w:qFormat/>
    <w:rPr>
      <w:rFonts w:ascii="Times New Roman" w:eastAsia="宋体" w:hAnsi="Times New Roman" w:cs="Times New Roman"/>
      <w:szCs w:val="24"/>
    </w:rPr>
  </w:style>
  <w:style w:type="paragraph" w:customStyle="1" w:styleId="area">
    <w:name w:val="area"/>
    <w:basedOn w:val="a0"/>
    <w:qFormat/>
    <w:pPr>
      <w:widowControl/>
      <w:spacing w:before="30"/>
      <w:jc w:val="center"/>
    </w:pPr>
    <w:rPr>
      <w:rFonts w:ascii="方正仿宋简体" w:eastAsia="方正仿宋简体" w:hAnsi="宋体" w:cs="Times New Roman"/>
      <w:color w:val="000000"/>
      <w:kern w:val="0"/>
      <w:sz w:val="28"/>
      <w:szCs w:val="2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4CharCharCharChar">
    <w:name w:val="4 Char Char Char Char"/>
    <w:basedOn w:val="a0"/>
    <w:qFormat/>
    <w:rPr>
      <w:rFonts w:ascii="Tahoma" w:eastAsia="宋体" w:hAnsi="Tahoma" w:cs="Times New Roman"/>
      <w:sz w:val="24"/>
      <w:szCs w:val="20"/>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afff3">
    <w:name w:val="已访问的超级链接"/>
    <w:qFormat/>
  </w:style>
  <w:style w:type="paragraph" w:customStyle="1" w:styleId="xl334">
    <w:name w:val="xl3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
    <w:name w:val="È±Ê¡ÎÄ±¾-×¢ÊÍ"/>
    <w:basedOn w:val="a0"/>
    <w:qFormat/>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xbt1">
    <w:name w:val="xbt1"/>
    <w:basedOn w:val="ZW0"/>
    <w:qFormat/>
    <w:pPr>
      <w:autoSpaceDE w:val="0"/>
      <w:autoSpaceDN w:val="0"/>
      <w:spacing w:before="180" w:after="180"/>
      <w:ind w:left="601" w:right="386"/>
      <w:jc w:val="left"/>
      <w:textAlignment w:val="bottom"/>
    </w:pPr>
    <w:rPr>
      <w:rFonts w:ascii="Arial" w:hAnsi="Arial"/>
      <w:b/>
      <w:sz w:val="30"/>
    </w:rPr>
  </w:style>
  <w:style w:type="paragraph" w:customStyle="1" w:styleId="afff4">
    <w:name w:val="屈正文"/>
    <w:basedOn w:val="a0"/>
    <w:qFormat/>
    <w:pPr>
      <w:tabs>
        <w:tab w:val="left" w:pos="1280"/>
        <w:tab w:val="left" w:pos="1718"/>
      </w:tabs>
      <w:spacing w:after="120"/>
      <w:ind w:firstLine="560"/>
    </w:pPr>
    <w:rPr>
      <w:rFonts w:ascii="Garamond" w:eastAsia="仿宋_GB2312" w:hAnsi="Garamond" w:cs="Times New Roman"/>
      <w:sz w:val="28"/>
      <w:szCs w:val="20"/>
    </w:rPr>
  </w:style>
  <w:style w:type="paragraph" w:customStyle="1" w:styleId="NormalIndent1">
    <w:name w:val="Normal Indent1"/>
    <w:basedOn w:val="a0"/>
    <w:qFormat/>
    <w:pPr>
      <w:ind w:firstLine="420"/>
    </w:pPr>
    <w:rPr>
      <w:rFonts w:ascii="Times New Roman" w:eastAsia="宋体" w:hAnsi="Times New Roman" w:cs="Times New Roman"/>
      <w:szCs w:val="20"/>
    </w:rPr>
  </w:style>
  <w:style w:type="paragraph" w:customStyle="1" w:styleId="xl209">
    <w:name w:val="xl20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kern w:val="0"/>
      <w:sz w:val="16"/>
      <w:szCs w:val="16"/>
    </w:rPr>
  </w:style>
  <w:style w:type="paragraph" w:customStyle="1" w:styleId="xl109">
    <w:name w:val="xl109"/>
    <w:basedOn w:val="a0"/>
    <w:qFormat/>
    <w:pPr>
      <w:widowControl/>
      <w:pBdr>
        <w:bottom w:val="single" w:sz="8"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xl368">
    <w:name w:val="xl3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afff5">
    <w:name w:val="内容"/>
    <w:basedOn w:val="a0"/>
    <w:qFormat/>
    <w:pPr>
      <w:spacing w:line="360" w:lineRule="exact"/>
      <w:ind w:firstLine="314"/>
    </w:pPr>
    <w:rPr>
      <w:rFonts w:ascii="楷体_GB2312" w:eastAsia="楷体_GB2312" w:hAnsi="Arial" w:cs="Arial"/>
      <w:sz w:val="28"/>
      <w:szCs w:val="24"/>
    </w:rPr>
  </w:style>
  <w:style w:type="paragraph" w:customStyle="1" w:styleId="afff6">
    <w:name w:val="????"/>
    <w:basedOn w:val="a1"/>
    <w:next w:val="a1"/>
    <w:qFormat/>
    <w:pPr>
      <w:overflowPunct w:val="0"/>
      <w:autoSpaceDE w:val="0"/>
      <w:autoSpaceDN w:val="0"/>
      <w:adjustRightInd w:val="0"/>
      <w:spacing w:before="194" w:after="194"/>
      <w:ind w:firstLine="525"/>
      <w:textAlignment w:val="baseline"/>
    </w:pPr>
    <w:rPr>
      <w:rFonts w:ascii="仿宋_GB2312" w:eastAsia="仿宋_GB2312"/>
      <w:sz w:val="28"/>
      <w:lang w:val="en-US"/>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kern w:val="0"/>
      <w:szCs w:val="21"/>
    </w:rPr>
  </w:style>
  <w:style w:type="paragraph" w:customStyle="1" w:styleId="XBT10">
    <w:name w:val="XBT1"/>
    <w:basedOn w:val="a0"/>
    <w:qFormat/>
    <w:pPr>
      <w:autoSpaceDE w:val="0"/>
      <w:autoSpaceDN w:val="0"/>
      <w:adjustRightInd w:val="0"/>
      <w:spacing w:before="120" w:after="240" w:line="312" w:lineRule="atLeast"/>
      <w:ind w:left="360"/>
      <w:textAlignment w:val="bottom"/>
    </w:pPr>
    <w:rPr>
      <w:rFonts w:ascii="黑体" w:eastAsia="黑体" w:hAnsi="Times New Roman" w:cs="Times New Roman"/>
      <w:b/>
      <w:kern w:val="0"/>
      <w:sz w:val="3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91">
    <w:name w:val="xl9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xl341">
    <w:name w:val="xl3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50">
    <w:name w:val="15"/>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16"/>
      <w:szCs w:val="16"/>
    </w:rPr>
  </w:style>
  <w:style w:type="paragraph" w:customStyle="1" w:styleId="2c">
    <w:name w:val="×Ó±êÌâ2"/>
    <w:basedOn w:val="a0"/>
    <w:qFormat/>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1d">
    <w:name w:val="正文文本缩进1"/>
    <w:basedOn w:val="a0"/>
    <w:qFormat/>
    <w:pPr>
      <w:tabs>
        <w:tab w:val="left" w:pos="1400"/>
      </w:tabs>
      <w:spacing w:before="156" w:after="156" w:line="520" w:lineRule="exact"/>
      <w:ind w:firstLine="480"/>
    </w:pPr>
    <w:rPr>
      <w:rFonts w:ascii="Times New Roman" w:eastAsia="仿宋_GB2312" w:hAnsi="Times New Roman" w:cs="Times New Roman"/>
      <w:sz w:val="28"/>
      <w:szCs w:val="28"/>
    </w:rPr>
  </w:style>
  <w:style w:type="paragraph" w:customStyle="1" w:styleId="35">
    <w:name w:val="正文3"/>
    <w:qFormat/>
    <w:pPr>
      <w:widowControl w:val="0"/>
      <w:adjustRightInd w:val="0"/>
      <w:spacing w:line="360" w:lineRule="auto"/>
      <w:ind w:firstLine="561"/>
      <w:jc w:val="both"/>
      <w:textAlignment w:val="baseline"/>
    </w:pPr>
    <w:rPr>
      <w:rFonts w:ascii="宋体"/>
      <w:sz w:val="28"/>
    </w:rPr>
  </w:style>
  <w:style w:type="paragraph" w:customStyle="1" w:styleId="yuCharChar">
    <w:name w:val="正文yu Char Char"/>
    <w:basedOn w:val="30"/>
    <w:qFormat/>
    <w:pPr>
      <w:ind w:firstLineChars="192" w:firstLine="538"/>
      <w:jc w:val="both"/>
    </w:pPr>
    <w:rPr>
      <w:sz w:val="28"/>
      <w:szCs w:val="2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12">
    <w:name w:val="正文文本缩进 312"/>
    <w:basedOn w:val="a0"/>
    <w:qFormat/>
    <w:pPr>
      <w:overflowPunct w:val="0"/>
      <w:autoSpaceDE w:val="0"/>
      <w:autoSpaceDN w:val="0"/>
      <w:adjustRightInd w:val="0"/>
      <w:spacing w:before="120" w:after="120" w:line="360" w:lineRule="auto"/>
      <w:ind w:firstLine="539"/>
      <w:textAlignment w:val="baseline"/>
    </w:pPr>
    <w:rPr>
      <w:rFonts w:ascii="宋体" w:eastAsia="宋体" w:hAnsi="Times New Roman" w:cs="Times New Roman"/>
      <w:sz w:val="28"/>
      <w:szCs w:val="20"/>
    </w:rPr>
  </w:style>
  <w:style w:type="paragraph" w:customStyle="1" w:styleId="xl195">
    <w:name w:val="xl19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p0">
    <w:name w:val="p0"/>
    <w:basedOn w:val="a0"/>
    <w:qFormat/>
    <w:pPr>
      <w:widowControl/>
    </w:pPr>
    <w:rPr>
      <w:rFonts w:ascii="Times New Roman" w:eastAsia="宋体" w:hAnsi="Times New Roman" w:cs="Times New Roman"/>
      <w:kern w:val="0"/>
      <w:szCs w:val="21"/>
    </w:rPr>
  </w:style>
  <w:style w:type="paragraph" w:customStyle="1" w:styleId="font9">
    <w:name w:val="font9"/>
    <w:basedOn w:val="a0"/>
    <w:qFormat/>
    <w:pPr>
      <w:widowControl/>
      <w:spacing w:before="100" w:beforeAutospacing="1" w:after="100" w:afterAutospacing="1"/>
      <w:jc w:val="left"/>
    </w:pPr>
    <w:rPr>
      <w:rFonts w:ascii="Times New Roman" w:eastAsia="宋体" w:hAnsi="Times New Roman" w:cs="Times New Roman"/>
      <w:b/>
      <w:bCs/>
      <w:color w:val="000000"/>
      <w:kern w:val="0"/>
      <w:sz w:val="18"/>
      <w:szCs w:val="18"/>
    </w:rPr>
  </w:style>
  <w:style w:type="paragraph" w:customStyle="1" w:styleId="CharCharCharCharCharCharCharCharCharCharCharCharCharCharChar">
    <w:name w:val="Char Char Char Char Char Char Char Char Char Char Char Char Char Char Char"/>
    <w:basedOn w:val="a0"/>
    <w:qFormat/>
    <w:rPr>
      <w:rFonts w:ascii="Tahoma" w:eastAsia="宋体" w:hAnsi="Tahoma" w:cs="Times New Roman"/>
      <w:sz w:val="24"/>
      <w:szCs w:val="20"/>
    </w:rPr>
  </w:style>
  <w:style w:type="paragraph" w:customStyle="1" w:styleId="xl104">
    <w:name w:val="xl104"/>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05">
    <w:name w:val="xl10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16"/>
      <w:szCs w:val="16"/>
    </w:rPr>
  </w:style>
  <w:style w:type="paragraph" w:customStyle="1" w:styleId="Style83">
    <w:name w:val="_Style 83"/>
    <w:basedOn w:val="a0"/>
    <w:next w:val="a0"/>
    <w:uiPriority w:val="60"/>
    <w:qFormat/>
    <w:rPr>
      <w:rFonts w:ascii="Calibri" w:eastAsia="宋体" w:hAnsi="Calibri" w:cs="Times New Roman"/>
      <w:color w:val="365F91"/>
      <w:sz w:val="22"/>
    </w:rPr>
  </w:style>
  <w:style w:type="paragraph" w:customStyle="1" w:styleId="xl328">
    <w:name w:val="xl32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62">
    <w:name w:val="样式6"/>
    <w:basedOn w:val="a0"/>
    <w:qFormat/>
    <w:pPr>
      <w:tabs>
        <w:tab w:val="left" w:pos="1400"/>
      </w:tabs>
      <w:spacing w:after="120"/>
      <w:ind w:left="1400" w:hanging="420"/>
    </w:pPr>
    <w:rPr>
      <w:rFonts w:ascii="Times New Roman" w:eastAsia="楷体_GB2312" w:hAnsi="Times New Roman" w:cs="Times New Roman"/>
      <w:sz w:val="24"/>
      <w:szCs w:val="24"/>
    </w:rPr>
  </w:style>
  <w:style w:type="paragraph" w:customStyle="1" w:styleId="afff7">
    <w:name w:val="è"/>
    <w:basedOn w:val="a0"/>
    <w:qFormat/>
    <w:pPr>
      <w:autoSpaceDE w:val="0"/>
      <w:autoSpaceDN w:val="0"/>
      <w:adjustRightInd w:val="0"/>
      <w:jc w:val="left"/>
    </w:pPr>
    <w:rPr>
      <w:rFonts w:ascii="宋体" w:eastAsia="宋体" w:hAnsi="Times New Roman" w:cs="Times New Roman"/>
      <w:kern w:val="0"/>
      <w:sz w:val="24"/>
      <w:szCs w:val="24"/>
    </w:rPr>
  </w:style>
  <w:style w:type="paragraph" w:customStyle="1" w:styleId="tc">
    <w:name w:val="tc"/>
    <w:basedOn w:val="a0"/>
    <w:qFormat/>
    <w:pPr>
      <w:widowControl/>
      <w:spacing w:before="30"/>
      <w:jc w:val="center"/>
    </w:pPr>
    <w:rPr>
      <w:rFonts w:ascii="黑体" w:eastAsia="黑体" w:hAnsi="宋体" w:cs="Times New Roman"/>
      <w:color w:val="000000"/>
      <w:kern w:val="0"/>
      <w:sz w:val="36"/>
      <w:szCs w:val="36"/>
    </w:rPr>
  </w:style>
  <w:style w:type="paragraph" w:customStyle="1" w:styleId="font14">
    <w:name w:val="font14"/>
    <w:basedOn w:val="a0"/>
    <w:qFormat/>
    <w:pPr>
      <w:widowControl/>
      <w:spacing w:before="100" w:beforeAutospacing="1" w:after="100" w:afterAutospacing="1"/>
      <w:jc w:val="left"/>
    </w:pPr>
    <w:rPr>
      <w:rFonts w:ascii="Arial Narrow" w:eastAsia="宋体" w:hAnsi="Arial Narrow" w:cs="宋体"/>
      <w:b/>
      <w:bCs/>
      <w:color w:val="000000"/>
      <w:kern w:val="0"/>
      <w:sz w:val="32"/>
      <w:szCs w:val="32"/>
    </w:rPr>
  </w:style>
  <w:style w:type="paragraph" w:customStyle="1" w:styleId="2d">
    <w:name w:val="纯文本2"/>
    <w:basedOn w:val="a0"/>
    <w:qFormat/>
    <w:pPr>
      <w:overflowPunct w:val="0"/>
      <w:autoSpaceDE w:val="0"/>
      <w:autoSpaceDN w:val="0"/>
      <w:adjustRightInd w:val="0"/>
      <w:textAlignment w:val="baseline"/>
    </w:pPr>
    <w:rPr>
      <w:rFonts w:ascii="宋体" w:eastAsia="宋体" w:hAnsi="Times New Roman" w:cs="Times New Roman"/>
      <w:sz w:val="24"/>
      <w:szCs w:val="20"/>
    </w:rPr>
  </w:style>
  <w:style w:type="paragraph" w:customStyle="1" w:styleId="xl56">
    <w:name w:val="xl56"/>
    <w:basedOn w:val="a0"/>
    <w:qFormat/>
    <w:pPr>
      <w:widowControl/>
      <w:spacing w:before="100" w:beforeAutospacing="1" w:after="100" w:afterAutospacing="1"/>
      <w:jc w:val="right"/>
      <w:textAlignment w:val="center"/>
    </w:pPr>
    <w:rPr>
      <w:rFonts w:ascii="宋体" w:eastAsia="宋体" w:hAnsi="宋体" w:cs="Times New Roman"/>
      <w:b/>
      <w:bCs/>
      <w:kern w:val="0"/>
      <w:sz w:val="24"/>
      <w:szCs w:val="24"/>
    </w:rPr>
  </w:style>
  <w:style w:type="paragraph" w:customStyle="1" w:styleId="xl335">
    <w:name w:val="xl3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16"/>
      <w:szCs w:val="16"/>
    </w:rPr>
  </w:style>
  <w:style w:type="paragraph" w:customStyle="1" w:styleId="l18">
    <w:name w:val="l18"/>
    <w:basedOn w:val="a0"/>
    <w:qFormat/>
    <w:pPr>
      <w:widowControl/>
      <w:spacing w:before="100" w:beforeAutospacing="1" w:after="100" w:afterAutospacing="1"/>
      <w:jc w:val="left"/>
    </w:pPr>
    <w:rPr>
      <w:rFonts w:ascii="宋体" w:eastAsia="宋体" w:hAnsi="宋体" w:cs="Courier New"/>
      <w:color w:val="000000"/>
      <w:kern w:val="0"/>
      <w:sz w:val="14"/>
      <w:szCs w:val="14"/>
    </w:rPr>
  </w:style>
  <w:style w:type="paragraph" w:customStyle="1" w:styleId="36">
    <w:name w:val="标题3"/>
    <w:basedOn w:val="a0"/>
    <w:qFormat/>
    <w:pPr>
      <w:tabs>
        <w:tab w:val="left" w:leader="middleDot" w:pos="7560"/>
      </w:tabs>
      <w:spacing w:line="360" w:lineRule="auto"/>
    </w:pPr>
    <w:rPr>
      <w:rFonts w:ascii="黑体" w:eastAsia="黑体" w:hAnsi="Times New Roman" w:cs="Times New Roman"/>
      <w:sz w:val="28"/>
      <w:szCs w:val="20"/>
    </w:rPr>
  </w:style>
  <w:style w:type="paragraph" w:customStyle="1" w:styleId="120">
    <w:name w:val="正文文本缩进12"/>
    <w:basedOn w:val="a0"/>
    <w:qFormat/>
    <w:pPr>
      <w:tabs>
        <w:tab w:val="left" w:pos="1400"/>
      </w:tabs>
      <w:spacing w:before="156" w:after="156" w:line="520" w:lineRule="exact"/>
      <w:ind w:firstLine="480"/>
    </w:pPr>
    <w:rPr>
      <w:rFonts w:ascii="Times New Roman" w:eastAsia="仿宋_GB2312" w:hAnsi="Times New Roman" w:cs="Times New Roman"/>
      <w:sz w:val="28"/>
      <w:szCs w:val="28"/>
    </w:rPr>
  </w:style>
  <w:style w:type="paragraph" w:customStyle="1" w:styleId="CharCharChar1Char1">
    <w:name w:val="Char Char Char1 Char1"/>
    <w:basedOn w:val="a0"/>
    <w:qFormat/>
    <w:rPr>
      <w:rFonts w:ascii="Tahoma" w:eastAsia="宋体" w:hAnsi="Tahoma" w:cs="Times New Roman"/>
      <w:sz w:val="24"/>
      <w:szCs w:val="20"/>
    </w:rPr>
  </w:style>
  <w:style w:type="paragraph" w:customStyle="1" w:styleId="xl22">
    <w:name w:val="xl22"/>
    <w:basedOn w:val="a0"/>
    <w:qFormat/>
    <w:pPr>
      <w:widowControl/>
      <w:pBdr>
        <w:top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b/>
      <w:bCs/>
      <w:kern w:val="0"/>
      <w:szCs w:val="21"/>
    </w:rPr>
  </w:style>
  <w:style w:type="paragraph" w:customStyle="1" w:styleId="xl361">
    <w:name w:val="xl36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367">
    <w:name w:val="xl367"/>
    <w:basedOn w:val="a0"/>
    <w:qFormat/>
    <w:pPr>
      <w:widowControl/>
      <w:spacing w:before="100" w:beforeAutospacing="1" w:after="100" w:afterAutospacing="1"/>
      <w:jc w:val="center"/>
    </w:pPr>
    <w:rPr>
      <w:rFonts w:ascii="宋体" w:eastAsia="宋体" w:hAnsi="宋体" w:cs="宋体"/>
      <w:kern w:val="0"/>
      <w:sz w:val="20"/>
      <w:szCs w:val="20"/>
    </w:rPr>
  </w:style>
  <w:style w:type="paragraph" w:customStyle="1" w:styleId="PlainText1">
    <w:name w:val="Plain Text1"/>
    <w:basedOn w:val="a0"/>
    <w:qFormat/>
    <w:pPr>
      <w:overflowPunct w:val="0"/>
      <w:autoSpaceDE w:val="0"/>
      <w:autoSpaceDN w:val="0"/>
      <w:adjustRightInd w:val="0"/>
      <w:textAlignment w:val="baseline"/>
    </w:pPr>
    <w:rPr>
      <w:rFonts w:ascii="宋体" w:eastAsia="宋体" w:hAnsi="Times New Roman" w:cs="Times New Roman"/>
      <w:szCs w:val="20"/>
    </w:rPr>
  </w:style>
  <w:style w:type="paragraph" w:customStyle="1" w:styleId="dd">
    <w:name w:val="dd"/>
    <w:basedOn w:val="a0"/>
    <w:qFormat/>
    <w:pPr>
      <w:autoSpaceDE w:val="0"/>
      <w:autoSpaceDN w:val="0"/>
      <w:adjustRightInd w:val="0"/>
      <w:ind w:firstLine="525"/>
    </w:pPr>
    <w:rPr>
      <w:rFonts w:ascii="宋体" w:eastAsia="宋体" w:hAnsi="Times New Roman" w:cs="Times New Roman"/>
      <w:kern w:val="0"/>
      <w:sz w:val="24"/>
      <w:szCs w:val="20"/>
    </w:rPr>
  </w:style>
  <w:style w:type="paragraph" w:customStyle="1" w:styleId="xl314">
    <w:name w:val="xl3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font12">
    <w:name w:val="font12"/>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f8">
    <w:name w:val="表格标题"/>
    <w:basedOn w:val="a0"/>
    <w:qFormat/>
    <w:pPr>
      <w:spacing w:before="240" w:after="240" w:line="360" w:lineRule="atLeast"/>
      <w:jc w:val="center"/>
    </w:pPr>
    <w:rPr>
      <w:rFonts w:ascii="Garamond" w:eastAsia="仿宋_GB2312" w:hAnsi="Garamond" w:cs="Times New Roman"/>
      <w:b/>
      <w:sz w:val="30"/>
      <w:szCs w:val="20"/>
    </w:rPr>
  </w:style>
  <w:style w:type="paragraph" w:customStyle="1" w:styleId="xl364">
    <w:name w:val="xl36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1e">
    <w:name w:val="1"/>
    <w:basedOn w:val="a0"/>
    <w:next w:val="af7"/>
    <w:qFormat/>
    <w:rPr>
      <w:rFonts w:ascii="Times New Roman" w:eastAsia="宋体" w:hAnsi="Times New Roman" w:cs="Times New Roman"/>
      <w:sz w:val="24"/>
      <w:szCs w:val="24"/>
    </w:rPr>
  </w:style>
  <w:style w:type="paragraph" w:customStyle="1" w:styleId="311">
    <w:name w:val="正文文本缩进 311"/>
    <w:basedOn w:val="a0"/>
    <w:qFormat/>
    <w:pPr>
      <w:overflowPunct w:val="0"/>
      <w:autoSpaceDE w:val="0"/>
      <w:autoSpaceDN w:val="0"/>
      <w:adjustRightInd w:val="0"/>
      <w:spacing w:before="120" w:after="120" w:line="360" w:lineRule="auto"/>
      <w:ind w:firstLine="539"/>
      <w:textAlignment w:val="baseline"/>
    </w:pPr>
    <w:rPr>
      <w:rFonts w:ascii="宋体" w:eastAsia="宋体" w:hAnsi="Times New Roman" w:cs="Times New Roman"/>
      <w:sz w:val="28"/>
      <w:szCs w:val="20"/>
    </w:rPr>
  </w:style>
  <w:style w:type="paragraph" w:customStyle="1" w:styleId="CharCharCharChar2">
    <w:name w:val="Char Char Char Char2"/>
    <w:basedOn w:val="a0"/>
    <w:qFormat/>
    <w:rPr>
      <w:rFonts w:ascii="Tahoma" w:eastAsia="宋体" w:hAnsi="Tahoma" w:cs="Times New Roman"/>
      <w:sz w:val="24"/>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kern w:val="0"/>
      <w:sz w:val="16"/>
      <w:szCs w:val="16"/>
    </w:rPr>
  </w:style>
  <w:style w:type="paragraph" w:customStyle="1" w:styleId="table">
    <w:name w:val="table"/>
    <w:basedOn w:val="a0"/>
    <w:qFormat/>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xl345">
    <w:name w:val="xl3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xl326">
    <w:name w:val="xl32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CharCharChar">
    <w:name w:val="Char Char Char Char Char Char Char Char Char Char"/>
    <w:basedOn w:val="a0"/>
    <w:qFormat/>
    <w:rPr>
      <w:rFonts w:ascii="Tahoma" w:eastAsia="宋体" w:hAnsi="Tahoma" w:cs="Times New Roman"/>
      <w:sz w:val="24"/>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rialNarrow">
    <w:name w:val="正文 + (西文) Arial Narrow"/>
    <w:basedOn w:val="a0"/>
    <w:qFormat/>
    <w:pPr>
      <w:tabs>
        <w:tab w:val="left" w:pos="720"/>
      </w:tabs>
      <w:adjustRightInd w:val="0"/>
      <w:snapToGrid w:val="0"/>
      <w:spacing w:line="300" w:lineRule="auto"/>
      <w:ind w:firstLine="567"/>
    </w:pPr>
    <w:rPr>
      <w:rFonts w:ascii="Arial Narrow" w:eastAsia="仿宋_GB2312" w:hAnsi="Arial Narrow" w:cs="Times New Roman"/>
      <w:sz w:val="28"/>
      <w:szCs w:val="20"/>
    </w:rPr>
  </w:style>
  <w:style w:type="paragraph" w:customStyle="1" w:styleId="afff9">
    <w:name w:val="总标题"/>
    <w:basedOn w:val="a0"/>
    <w:qFormat/>
    <w:pPr>
      <w:adjustRightInd w:val="0"/>
      <w:spacing w:line="318" w:lineRule="atLeast"/>
      <w:ind w:firstLine="567"/>
      <w:jc w:val="center"/>
      <w:textAlignment w:val="baseline"/>
    </w:pPr>
    <w:rPr>
      <w:rFonts w:ascii="昆仑粗隶书" w:eastAsia="昆仑粗隶书" w:hAnsi="Times New Roman" w:cs="Times New Roman"/>
      <w:b/>
      <w:kern w:val="0"/>
      <w:sz w:val="52"/>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kern w:val="0"/>
      <w:sz w:val="20"/>
      <w:szCs w:val="20"/>
    </w:rPr>
  </w:style>
  <w:style w:type="paragraph" w:customStyle="1" w:styleId="xl94">
    <w:name w:val="xl94"/>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53">
    <w:name w:val="xl15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宋体" w:hAnsi="Arial Unicode MS" w:cs="Times New Roman"/>
      <w:b/>
      <w:bCs/>
      <w:kern w:val="0"/>
      <w:sz w:val="24"/>
      <w:szCs w:val="24"/>
    </w:rPr>
  </w:style>
  <w:style w:type="paragraph" w:customStyle="1" w:styleId="xl351">
    <w:name w:val="xl351"/>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107">
    <w:name w:val="xl107"/>
    <w:basedOn w:val="a0"/>
    <w:qFormat/>
    <w:pPr>
      <w:widowControl/>
      <w:pBdr>
        <w:bottom w:val="single" w:sz="8" w:space="0" w:color="auto"/>
      </w:pBdr>
      <w:spacing w:before="100" w:beforeAutospacing="1" w:after="100" w:afterAutospacing="1"/>
      <w:jc w:val="center"/>
    </w:pPr>
    <w:rPr>
      <w:rFonts w:ascii="Arial Narrow" w:eastAsia="宋体" w:hAnsi="Arial Narrow" w:cs="宋体"/>
      <w:b/>
      <w:bCs/>
      <w:color w:val="000000"/>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37">
    <w:name w:val="xl3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0">
    <w:name w:val="纯文本11"/>
    <w:basedOn w:val="a0"/>
    <w:qFormat/>
    <w:pPr>
      <w:overflowPunct w:val="0"/>
      <w:autoSpaceDE w:val="0"/>
      <w:autoSpaceDN w:val="0"/>
      <w:adjustRightInd w:val="0"/>
      <w:textAlignment w:val="baseline"/>
    </w:pPr>
    <w:rPr>
      <w:rFonts w:ascii="宋体" w:eastAsia="宋体" w:hAnsi="Times New Roman" w:cs="Times New Roman"/>
      <w:sz w:val="24"/>
      <w:szCs w:val="20"/>
    </w:rPr>
  </w:style>
  <w:style w:type="paragraph" w:customStyle="1" w:styleId="xl51">
    <w:name w:val="xl51"/>
    <w:basedOn w:val="a0"/>
    <w:qFormat/>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1f">
    <w:name w:val="正文1"/>
    <w:basedOn w:val="a0"/>
    <w:qFormat/>
    <w:pPr>
      <w:spacing w:before="120" w:after="120"/>
    </w:pPr>
    <w:rPr>
      <w:rFonts w:ascii="宋体" w:eastAsia="黑体" w:hAnsi="Courier New" w:cs="Times New Roman"/>
      <w:sz w:val="36"/>
      <w:szCs w:val="20"/>
    </w:rPr>
  </w:style>
  <w:style w:type="paragraph" w:customStyle="1" w:styleId="xl333">
    <w:name w:val="xl3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1077">
    <w:name w:val="xl1077"/>
    <w:basedOn w:val="a0"/>
    <w:qFormat/>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37">
    <w:name w:val="3"/>
    <w:basedOn w:val="a0"/>
    <w:next w:val="af7"/>
    <w:qFormat/>
    <w:pPr>
      <w:widowControl/>
      <w:spacing w:before="100" w:beforeAutospacing="1" w:after="100" w:afterAutospacing="1"/>
      <w:jc w:val="left"/>
    </w:pPr>
    <w:rPr>
      <w:rFonts w:ascii="宋体" w:eastAsia="宋体" w:hAnsi="宋体" w:cs="宋体"/>
      <w:kern w:val="0"/>
      <w:sz w:val="24"/>
      <w:szCs w:val="24"/>
    </w:rPr>
  </w:style>
  <w:style w:type="paragraph" w:customStyle="1" w:styleId="21215Char">
    <w:name w:val="样式 样式 样式 样式 首行缩进:  2 字符1 + 首行缩进:  2 字符 + 行距: 1.5 倍行距 Char + 首行缩进..."/>
    <w:basedOn w:val="a0"/>
    <w:qFormat/>
    <w:pPr>
      <w:spacing w:line="360" w:lineRule="auto"/>
      <w:ind w:firstLineChars="200" w:firstLine="560"/>
    </w:pPr>
    <w:rPr>
      <w:rFonts w:ascii="Times New Roman" w:eastAsia="宋体" w:hAnsi="Times New Roman" w:cs="Times New Roman"/>
      <w:sz w:val="28"/>
      <w:szCs w:val="28"/>
    </w:rPr>
  </w:style>
  <w:style w:type="paragraph" w:customStyle="1" w:styleId="font16">
    <w:name w:val="font16"/>
    <w:basedOn w:val="a0"/>
    <w:qFormat/>
    <w:pPr>
      <w:widowControl/>
      <w:spacing w:before="100" w:beforeAutospacing="1" w:after="100" w:afterAutospacing="1"/>
      <w:jc w:val="left"/>
    </w:pPr>
    <w:rPr>
      <w:rFonts w:ascii="Arial Narrow" w:eastAsia="宋体" w:hAnsi="Arial Narrow" w:cs="宋体"/>
      <w:color w:val="000000"/>
      <w:kern w:val="0"/>
      <w:sz w:val="24"/>
      <w:szCs w:val="24"/>
    </w:rPr>
  </w:style>
  <w:style w:type="paragraph" w:customStyle="1" w:styleId="font15">
    <w:name w:val="font15"/>
    <w:basedOn w:val="a0"/>
    <w:qFormat/>
    <w:pPr>
      <w:widowControl/>
      <w:spacing w:before="100" w:beforeAutospacing="1" w:after="100" w:afterAutospacing="1"/>
      <w:jc w:val="left"/>
    </w:pPr>
    <w:rPr>
      <w:rFonts w:ascii="仿宋_GB2312" w:eastAsia="仿宋_GB2312" w:hAnsi="宋体" w:cs="宋体"/>
      <w:b/>
      <w:bCs/>
      <w:color w:val="000000"/>
      <w:kern w:val="0"/>
      <w:sz w:val="32"/>
      <w:szCs w:val="32"/>
    </w:rPr>
  </w:style>
  <w:style w:type="paragraph" w:customStyle="1" w:styleId="xl347">
    <w:name w:val="xl347"/>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f0">
    <w:name w:val="日期1"/>
    <w:basedOn w:val="a0"/>
    <w:next w:val="a0"/>
    <w:qFormat/>
    <w:pPr>
      <w:overflowPunct w:val="0"/>
      <w:autoSpaceDE w:val="0"/>
      <w:autoSpaceDN w:val="0"/>
      <w:adjustRightInd w:val="0"/>
      <w:textAlignment w:val="baseline"/>
    </w:pPr>
    <w:rPr>
      <w:rFonts w:ascii="宋体" w:eastAsia="宋体" w:hAnsi="Times New Roman" w:cs="Times New Roman"/>
      <w:sz w:val="28"/>
      <w:szCs w:val="20"/>
    </w:rPr>
  </w:style>
  <w:style w:type="paragraph" w:customStyle="1" w:styleId="CharCharCharCharCharCharCharCharCharCharCharCharCharCharCharChar">
    <w:name w:val="Char Char Char Char Char Char Char Char Char Char Char Char Char Char Char Char"/>
    <w:basedOn w:val="a0"/>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44">
    <w:name w:val="xl3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23">
    <w:name w:val="xl32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340">
    <w:name w:val="xl3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6"/>
      <w:szCs w:val="16"/>
    </w:rPr>
  </w:style>
  <w:style w:type="paragraph" w:customStyle="1" w:styleId="111">
    <w:name w:val="日期11"/>
    <w:basedOn w:val="a0"/>
    <w:next w:val="a0"/>
    <w:qFormat/>
    <w:pPr>
      <w:overflowPunct w:val="0"/>
      <w:autoSpaceDE w:val="0"/>
      <w:autoSpaceDN w:val="0"/>
      <w:adjustRightInd w:val="0"/>
      <w:textAlignment w:val="baseline"/>
    </w:pPr>
    <w:rPr>
      <w:rFonts w:ascii="宋体" w:eastAsia="宋体" w:hAnsi="Times New Roman" w:cs="Times New Roman"/>
      <w:sz w:val="28"/>
      <w:szCs w:val="20"/>
    </w:rPr>
  </w:style>
  <w:style w:type="paragraph" w:customStyle="1" w:styleId="CharCharChar2">
    <w:name w:val="Char Char Char2"/>
    <w:basedOn w:val="a0"/>
    <w:qFormat/>
    <w:rPr>
      <w:rFonts w:ascii="Tahoma" w:eastAsia="宋体" w:hAnsi="Tahoma" w:cs="Times New Roman"/>
      <w:sz w:val="24"/>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4">
    <w:name w:val="xl7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2"/>
    </w:rPr>
  </w:style>
  <w:style w:type="paragraph" w:customStyle="1" w:styleId="xl342">
    <w:name w:val="xl3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5">
    <w:name w:val="xl5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65">
    <w:name w:val="xl365"/>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a">
    <w:name w:val="正"/>
    <w:basedOn w:val="a0"/>
    <w:qFormat/>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2e">
    <w:name w:val="正文2"/>
    <w:basedOn w:val="1f"/>
    <w:qFormat/>
    <w:pPr>
      <w:spacing w:line="360" w:lineRule="auto"/>
    </w:pPr>
    <w:rPr>
      <w:sz w:val="28"/>
    </w:rPr>
  </w:style>
  <w:style w:type="paragraph" w:customStyle="1" w:styleId="TableText">
    <w:name w:val="Table Text"/>
    <w:qFormat/>
    <w:pPr>
      <w:jc w:val="center"/>
    </w:pPr>
    <w:rPr>
      <w:snapToGrid w:val="0"/>
      <w:color w:val="000000"/>
      <w:sz w:val="22"/>
      <w:lang w:eastAsia="en-US"/>
    </w:rPr>
  </w:style>
  <w:style w:type="paragraph" w:customStyle="1" w:styleId="313">
    <w:name w:val="正文31"/>
    <w:qFormat/>
    <w:pPr>
      <w:widowControl w:val="0"/>
      <w:adjustRightInd w:val="0"/>
      <w:spacing w:line="360" w:lineRule="auto"/>
      <w:ind w:firstLine="561"/>
      <w:jc w:val="both"/>
      <w:textAlignment w:val="baseline"/>
    </w:pPr>
    <w:rPr>
      <w:rFonts w:ascii="宋体"/>
      <w:sz w:val="28"/>
    </w:rPr>
  </w:style>
  <w:style w:type="paragraph" w:customStyle="1" w:styleId="afffb">
    <w:name w:val="电信"/>
    <w:basedOn w:val="ae"/>
    <w:qFormat/>
    <w:pPr>
      <w:autoSpaceDE w:val="0"/>
      <w:autoSpaceDN w:val="0"/>
      <w:adjustRightInd w:val="0"/>
    </w:pPr>
    <w:rPr>
      <w:rFonts w:ascii="方正书宋简体" w:eastAsia="方正书宋简体" w:hAnsi="Times New Roman"/>
      <w:kern w:val="0"/>
      <w:sz w:val="28"/>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6">
    <w:name w:val="xl9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Char110">
    <w:name w:val="Char11"/>
    <w:basedOn w:val="a0"/>
    <w:qFormat/>
    <w:rPr>
      <w:rFonts w:ascii="Tahoma" w:eastAsia="宋体" w:hAnsi="Tahoma" w:cs="Times New Roman"/>
      <w:sz w:val="24"/>
      <w:szCs w:val="20"/>
    </w:rPr>
  </w:style>
  <w:style w:type="paragraph" w:customStyle="1" w:styleId="xl60">
    <w:name w:val="xl60"/>
    <w:basedOn w:val="a0"/>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90">
    <w:name w:val="xl190"/>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15">
    <w:name w:val="xl3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50">
    <w:name w:val="xl50"/>
    <w:basedOn w:val="a0"/>
    <w:qFormat/>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62">
    <w:name w:val="xl362"/>
    <w:basedOn w:val="a0"/>
    <w:qFormat/>
    <w:pPr>
      <w:widowControl/>
      <w:pBdr>
        <w:top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2f">
    <w:name w:val="2"/>
    <w:basedOn w:val="a0"/>
    <w:next w:val="af7"/>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缺省文本:2"/>
    <w:basedOn w:val="a0"/>
    <w:qFormat/>
    <w:pPr>
      <w:autoSpaceDE w:val="0"/>
      <w:autoSpaceDN w:val="0"/>
      <w:adjustRightInd w:val="0"/>
      <w:jc w:val="left"/>
    </w:pPr>
    <w:rPr>
      <w:rFonts w:ascii="Times New Roman" w:eastAsia="宋体" w:hAnsi="Times New Roman" w:cs="Times New Roman"/>
      <w:kern w:val="0"/>
      <w:sz w:val="24"/>
      <w:szCs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38">
    <w:name w:val="xl3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46">
    <w:name w:val="xl3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2111">
    <w:name w:val="正文文本 211"/>
    <w:basedOn w:val="a0"/>
    <w:qFormat/>
    <w:pPr>
      <w:overflowPunct w:val="0"/>
      <w:autoSpaceDE w:val="0"/>
      <w:autoSpaceDN w:val="0"/>
      <w:adjustRightInd w:val="0"/>
      <w:spacing w:line="400" w:lineRule="exact"/>
      <w:ind w:firstLine="482"/>
      <w:jc w:val="left"/>
      <w:textAlignment w:val="baseline"/>
    </w:pPr>
    <w:rPr>
      <w:rFonts w:ascii="宋体" w:eastAsia="宋体" w:hAnsi="Times New Roman" w:cs="Times New Roman"/>
      <w:kern w:val="0"/>
      <w:sz w:val="24"/>
      <w:szCs w:val="20"/>
    </w:rPr>
  </w:style>
  <w:style w:type="paragraph" w:customStyle="1" w:styleId="CharCharCharCharCharCharCharCharCharCharCharCharCharCharChar2">
    <w:name w:val="Char Char Char Char Char Char Char Char Char Char Char Char Char Char Char2"/>
    <w:basedOn w:val="a0"/>
    <w:qFormat/>
    <w:rPr>
      <w:rFonts w:ascii="Tahoma" w:eastAsia="宋体" w:hAnsi="Tahoma" w:cs="Times New Roman"/>
      <w:sz w:val="24"/>
      <w:szCs w:val="20"/>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2120">
    <w:name w:val="正文文本 212"/>
    <w:basedOn w:val="a0"/>
    <w:qFormat/>
    <w:pPr>
      <w:overflowPunct w:val="0"/>
      <w:autoSpaceDE w:val="0"/>
      <w:autoSpaceDN w:val="0"/>
      <w:adjustRightInd w:val="0"/>
      <w:spacing w:line="400" w:lineRule="exact"/>
      <w:ind w:firstLine="482"/>
      <w:jc w:val="left"/>
      <w:textAlignment w:val="baseline"/>
    </w:pPr>
    <w:rPr>
      <w:rFonts w:ascii="宋体" w:eastAsia="宋体" w:hAnsi="Times New Roman" w:cs="Times New Roman"/>
      <w:kern w:val="0"/>
      <w:sz w:val="24"/>
      <w:szCs w:val="20"/>
    </w:rPr>
  </w:style>
  <w:style w:type="paragraph" w:customStyle="1" w:styleId="1f1">
    <w:name w:val="×Ó±êÌâ1"/>
    <w:basedOn w:val="a0"/>
    <w:qFormat/>
    <w:pPr>
      <w:widowControl/>
      <w:tabs>
        <w:tab w:val="left" w:pos="595"/>
      </w:tabs>
      <w:overflowPunct w:val="0"/>
      <w:autoSpaceDE w:val="0"/>
      <w:autoSpaceDN w:val="0"/>
      <w:adjustRightInd w:val="0"/>
      <w:spacing w:after="140" w:line="360" w:lineRule="auto"/>
      <w:ind w:left="-383"/>
      <w:textAlignment w:val="baseline"/>
    </w:pPr>
    <w:rPr>
      <w:rFonts w:ascii="Arial Black" w:eastAsia="宋体" w:hAnsi="Arial Black" w:cs="Times New Roman"/>
      <w:b/>
      <w:kern w:val="0"/>
      <w:sz w:val="28"/>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16"/>
      <w:szCs w:val="16"/>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afffc">
    <w:name w:val="È"/>
    <w:qFormat/>
    <w:pPr>
      <w:overflowPunct w:val="0"/>
      <w:autoSpaceDE w:val="0"/>
      <w:autoSpaceDN w:val="0"/>
      <w:adjustRightInd w:val="0"/>
      <w:textAlignment w:val="baseline"/>
    </w:pPr>
    <w:rPr>
      <w:sz w:val="24"/>
    </w:rPr>
  </w:style>
  <w:style w:type="paragraph" w:customStyle="1" w:styleId="afffd">
    <w:name w:val="内部地址姓名"/>
    <w:basedOn w:val="a0"/>
    <w:qFormat/>
    <w:rPr>
      <w:rFonts w:ascii="Times New Roman" w:eastAsia="宋体" w:hAnsi="Times New Roman" w:cs="Times New Roman"/>
      <w:szCs w:val="24"/>
    </w:rPr>
  </w:style>
  <w:style w:type="paragraph" w:customStyle="1" w:styleId="xl350">
    <w:name w:val="xl350"/>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ParaChar">
    <w:name w:val="默认段落字体 Para Char"/>
    <w:basedOn w:val="a0"/>
    <w:next w:val="a0"/>
    <w:qFormat/>
    <w:rPr>
      <w:rFonts w:ascii="Times New Roman" w:eastAsia="宋体" w:hAnsi="Times New Roman" w:cs="Times New Roman"/>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358">
    <w:name w:val="xl35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343">
    <w:name w:val="xl3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8">
    <w:name w:val="xl108"/>
    <w:basedOn w:val="a0"/>
    <w:qFormat/>
    <w:pPr>
      <w:widowControl/>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356">
    <w:name w:val="xl35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82">
    <w:name w:val="8"/>
    <w:basedOn w:val="a0"/>
    <w:next w:val="22"/>
    <w:qFormat/>
    <w:pPr>
      <w:ind w:firstLine="540"/>
    </w:pPr>
    <w:rPr>
      <w:rFonts w:ascii="Arial Narrow" w:eastAsia="仿宋_GB2312" w:hAnsi="Arial Narrow" w:cs="Times New Roman"/>
      <w:sz w:val="28"/>
      <w:szCs w:val="28"/>
    </w:rPr>
  </w:style>
  <w:style w:type="paragraph" w:customStyle="1" w:styleId="xl65">
    <w:name w:val="xl65"/>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Char22">
    <w:name w:val="Char2"/>
    <w:basedOn w:val="a0"/>
    <w:qFormat/>
    <w:rPr>
      <w:rFonts w:ascii="Times New Roman" w:eastAsia="宋体" w:hAnsi="Times New Roman" w:cs="Times New Roman"/>
      <w:szCs w:val="24"/>
    </w:rPr>
  </w:style>
  <w:style w:type="paragraph" w:customStyle="1" w:styleId="xl360">
    <w:name w:val="xl3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CharCharCharChar">
    <w:name w:val="Char Char Char Char"/>
    <w:basedOn w:val="a0"/>
    <w:qFormat/>
    <w:rPr>
      <w:rFonts w:ascii="Tahoma" w:eastAsia="宋体" w:hAnsi="Tahoma" w:cs="Tahoma"/>
      <w:sz w:val="24"/>
      <w:szCs w:val="24"/>
    </w:rPr>
  </w:style>
  <w:style w:type="paragraph" w:customStyle="1" w:styleId="navbar">
    <w:name w:val="navbar"/>
    <w:basedOn w:val="a0"/>
    <w:qFormat/>
    <w:pPr>
      <w:widowControl/>
      <w:jc w:val="left"/>
    </w:pPr>
    <w:rPr>
      <w:rFonts w:ascii="宋体" w:eastAsia="宋体" w:hAnsi="宋体" w:cs="宋体"/>
      <w:kern w:val="0"/>
      <w:sz w:val="24"/>
      <w:szCs w:val="24"/>
    </w:rPr>
  </w:style>
  <w:style w:type="paragraph" w:customStyle="1" w:styleId="121">
    <w:name w:val="日期12"/>
    <w:basedOn w:val="a0"/>
    <w:next w:val="a0"/>
    <w:qFormat/>
    <w:pPr>
      <w:overflowPunct w:val="0"/>
      <w:autoSpaceDE w:val="0"/>
      <w:autoSpaceDN w:val="0"/>
      <w:adjustRightInd w:val="0"/>
      <w:textAlignment w:val="baseline"/>
    </w:pPr>
    <w:rPr>
      <w:rFonts w:ascii="宋体" w:eastAsia="宋体" w:hAnsi="Times New Roman" w:cs="Times New Roman"/>
      <w:sz w:val="28"/>
      <w:szCs w:val="20"/>
    </w:rPr>
  </w:style>
  <w:style w:type="paragraph" w:customStyle="1" w:styleId="xl99">
    <w:name w:val="xl9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363">
    <w:name w:val="xl3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afffe">
    <w:name w:val="缺省文本"/>
    <w:basedOn w:val="a0"/>
    <w:qFormat/>
    <w:pPr>
      <w:autoSpaceDE w:val="0"/>
      <w:autoSpaceDN w:val="0"/>
      <w:adjustRightInd w:val="0"/>
      <w:jc w:val="left"/>
    </w:pPr>
    <w:rPr>
      <w:rFonts w:ascii="Times New Roman" w:eastAsia="宋体" w:hAnsi="Times New Roman" w:cs="Times New Roman"/>
      <w:kern w:val="0"/>
      <w:sz w:val="24"/>
      <w:szCs w:val="24"/>
    </w:rPr>
  </w:style>
  <w:style w:type="paragraph" w:customStyle="1" w:styleId="xl198">
    <w:name w:val="xl198"/>
    <w:basedOn w:val="a0"/>
    <w:qFormat/>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font10">
    <w:name w:val="font10"/>
    <w:basedOn w:val="a0"/>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affff">
    <w:name w:val="文档正文"/>
    <w:basedOn w:val="a0"/>
    <w:qFormat/>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affff0">
    <w:name w:val="标准正文"/>
    <w:basedOn w:val="a0"/>
    <w:qFormat/>
    <w:pPr>
      <w:autoSpaceDE w:val="0"/>
      <w:autoSpaceDN w:val="0"/>
      <w:adjustRightInd w:val="0"/>
      <w:spacing w:line="360" w:lineRule="auto"/>
      <w:ind w:firstLineChars="200" w:firstLine="480"/>
    </w:pPr>
    <w:rPr>
      <w:rFonts w:ascii="Times New Roman" w:eastAsia="宋体" w:hAnsi="Times New Roman" w:cs="Times New Roman"/>
      <w:kern w:val="0"/>
      <w:sz w:val="24"/>
      <w:szCs w:val="24"/>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40">
    <w:name w:val="xl4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cs="Times New Roman"/>
      <w:color w:val="FFFFFF"/>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208">
    <w:name w:val="xl20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349">
    <w:name w:val="xl34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xl319">
    <w:name w:val="xl3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justify">
    <w:name w:val="justify"/>
    <w:basedOn w:val="a0"/>
    <w:qFormat/>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Char1CharCharChar">
    <w:name w:val="Char1 Char Char Char"/>
    <w:basedOn w:val="a0"/>
    <w:qFormat/>
    <w:rPr>
      <w:rFonts w:ascii="Tahoma" w:eastAsia="宋体" w:hAnsi="Tahoma" w:cs="Times New Roman"/>
      <w:sz w:val="24"/>
      <w:szCs w:val="20"/>
    </w:rPr>
  </w:style>
  <w:style w:type="paragraph" w:customStyle="1" w:styleId="xl29">
    <w:name w:val="xl29"/>
    <w:basedOn w:val="a0"/>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6"/>
      <w:szCs w:val="16"/>
    </w:rPr>
  </w:style>
  <w:style w:type="paragraph" w:customStyle="1" w:styleId="DecimalAligned">
    <w:name w:val="Decimal Aligned"/>
    <w:basedOn w:val="a0"/>
    <w:uiPriority w:val="40"/>
    <w:qFormat/>
    <w:pPr>
      <w:widowControl/>
      <w:tabs>
        <w:tab w:val="decimal" w:pos="360"/>
      </w:tabs>
      <w:spacing w:after="200" w:line="276" w:lineRule="auto"/>
      <w:jc w:val="left"/>
    </w:pPr>
    <w:rPr>
      <w:rFonts w:ascii="Calibri" w:eastAsia="宋体" w:hAnsi="Calibri" w:cs="Times New Roman"/>
      <w:kern w:val="0"/>
      <w:sz w:val="22"/>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affff1">
    <w:name w:val="中连页眉"/>
    <w:basedOn w:val="af2"/>
    <w:qFormat/>
    <w:pPr>
      <w:pBdr>
        <w:bottom w:val="threeDEngrave" w:sz="18" w:space="1" w:color="auto"/>
      </w:pBdr>
    </w:pPr>
    <w:rPr>
      <w:rFonts w:eastAsia="仿宋_GB2312"/>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03">
    <w:name w:val="xl103"/>
    <w:basedOn w:val="a0"/>
    <w:qFormat/>
    <w:pPr>
      <w:widowControl/>
      <w:pBdr>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affff2">
    <w:name w:val="大标题"/>
    <w:basedOn w:val="aa"/>
    <w:qFormat/>
    <w:pPr>
      <w:widowControl w:val="0"/>
      <w:spacing w:line="360" w:lineRule="auto"/>
      <w:jc w:val="both"/>
      <w:outlineLvl w:val="0"/>
    </w:pPr>
    <w:rPr>
      <w:rFonts w:ascii="仿宋_GB2312" w:eastAsia="仿宋_GB2312"/>
      <w:b/>
      <w:kern w:val="2"/>
      <w:sz w:val="24"/>
    </w:rPr>
  </w:style>
  <w:style w:type="paragraph" w:customStyle="1" w:styleId="affff3">
    <w:name w:val="È±Ê¡ÎÄ±¾"/>
    <w:basedOn w:val="a0"/>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xl331">
    <w:name w:val="xl331"/>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7">
    <w:name w:val="xl197"/>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1f2">
    <w:name w:val="缺省文本:1"/>
    <w:basedOn w:val="a0"/>
    <w:qFormat/>
    <w:pPr>
      <w:autoSpaceDE w:val="0"/>
      <w:autoSpaceDN w:val="0"/>
      <w:adjustRightInd w:val="0"/>
      <w:jc w:val="left"/>
    </w:pPr>
    <w:rPr>
      <w:rFonts w:ascii="Times New Roman" w:eastAsia="宋体" w:hAnsi="Times New Roman" w:cs="Times New Roman"/>
      <w:kern w:val="0"/>
      <w:sz w:val="24"/>
      <w:szCs w:val="24"/>
    </w:rPr>
  </w:style>
  <w:style w:type="paragraph" w:customStyle="1" w:styleId="213">
    <w:name w:val="正文文本 21"/>
    <w:basedOn w:val="a0"/>
    <w:qFormat/>
    <w:pPr>
      <w:overflowPunct w:val="0"/>
      <w:autoSpaceDE w:val="0"/>
      <w:autoSpaceDN w:val="0"/>
      <w:adjustRightInd w:val="0"/>
      <w:spacing w:line="400" w:lineRule="exact"/>
      <w:ind w:firstLine="482"/>
      <w:jc w:val="left"/>
      <w:textAlignment w:val="baseline"/>
    </w:pPr>
    <w:rPr>
      <w:rFonts w:ascii="宋体" w:eastAsia="宋体" w:hAnsi="Times New Roman" w:cs="Times New Roman"/>
      <w:kern w:val="0"/>
      <w:sz w:val="24"/>
      <w:szCs w:val="20"/>
    </w:rPr>
  </w:style>
  <w:style w:type="paragraph" w:customStyle="1" w:styleId="affff4">
    <w:name w:val="简单回函地址"/>
    <w:basedOn w:val="a0"/>
    <w:qFormat/>
    <w:rPr>
      <w:rFonts w:ascii="Times New Roman" w:eastAsia="宋体" w:hAnsi="Times New Roman" w:cs="Times New Roman"/>
      <w:szCs w:val="20"/>
    </w:rPr>
  </w:style>
  <w:style w:type="paragraph" w:customStyle="1" w:styleId="xl317">
    <w:name w:val="xl31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font13">
    <w:name w:val="font13"/>
    <w:basedOn w:val="a0"/>
    <w:qFormat/>
    <w:pPr>
      <w:widowControl/>
      <w:spacing w:before="100" w:beforeAutospacing="1" w:after="100" w:afterAutospacing="1"/>
      <w:jc w:val="left"/>
    </w:pPr>
    <w:rPr>
      <w:rFonts w:ascii="仿宋_GB2312" w:eastAsia="仿宋_GB2312" w:hAnsi="宋体" w:cs="宋体"/>
      <w:b/>
      <w:bCs/>
      <w:kern w:val="0"/>
      <w:sz w:val="18"/>
      <w:szCs w:val="18"/>
    </w:rPr>
  </w:style>
  <w:style w:type="paragraph" w:customStyle="1" w:styleId="font6">
    <w:name w:val="font6"/>
    <w:basedOn w:val="a0"/>
    <w:qFormat/>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b/>
      <w:bCs/>
      <w:kern w:val="0"/>
      <w:sz w:val="24"/>
      <w:szCs w:val="24"/>
    </w:rPr>
  </w:style>
  <w:style w:type="paragraph" w:customStyle="1" w:styleId="xl339">
    <w:name w:val="xl3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tablewide">
    <w:name w:val="table wide"/>
    <w:basedOn w:val="a0"/>
    <w:qFormat/>
    <w:pPr>
      <w:keepLines/>
      <w:widowControl/>
      <w:autoSpaceDE w:val="0"/>
      <w:autoSpaceDN w:val="0"/>
      <w:adjustRightInd w:val="0"/>
      <w:spacing w:before="40" w:after="40"/>
      <w:jc w:val="center"/>
      <w:textAlignment w:val="bottom"/>
    </w:pPr>
    <w:rPr>
      <w:rFonts w:ascii="宋体" w:eastAsia="宋体" w:hAnsi="Times New Roman" w:cs="Times New Roman"/>
      <w:kern w:val="0"/>
      <w:sz w:val="24"/>
      <w:szCs w:val="20"/>
    </w:rPr>
  </w:style>
  <w:style w:type="paragraph" w:customStyle="1" w:styleId="xl72">
    <w:name w:val="xl72"/>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4Char0">
    <w:name w:val="4 Char"/>
    <w:basedOn w:val="a0"/>
    <w:qFormat/>
    <w:rPr>
      <w:rFonts w:ascii="Tahoma" w:eastAsia="宋体" w:hAnsi="Tahoma" w:cs="Times New Roman"/>
      <w:sz w:val="24"/>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bCs/>
      <w:kern w:val="0"/>
      <w:sz w:val="16"/>
      <w:szCs w:val="16"/>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HTML1">
    <w:name w:val="HTML 预先格式化"/>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customStyle="1" w:styleId="xl62">
    <w:name w:val="xl62"/>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news">
    <w:name w:val="news"/>
    <w:basedOn w:val="a0"/>
    <w:qFormat/>
    <w:pPr>
      <w:widowControl/>
      <w:spacing w:before="100" w:beforeAutospacing="1" w:after="100" w:afterAutospacing="1" w:line="360" w:lineRule="atLeast"/>
      <w:jc w:val="left"/>
    </w:pPr>
    <w:rPr>
      <w:rFonts w:ascii="宋体" w:eastAsia="宋体" w:hAnsi="宋体" w:cs="Times New Roman"/>
      <w:kern w:val="0"/>
      <w:sz w:val="28"/>
      <w:szCs w:val="28"/>
    </w:rPr>
  </w:style>
  <w:style w:type="paragraph" w:customStyle="1" w:styleId="xl352">
    <w:name w:val="xl3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4">
    <w:name w:val="H4"/>
    <w:basedOn w:val="a0"/>
    <w:qFormat/>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title2">
    <w:name w:val="title2"/>
    <w:basedOn w:val="20"/>
    <w:qFormat/>
    <w:pPr>
      <w:jc w:val="both"/>
    </w:pPr>
    <w:rPr>
      <w:bCs/>
      <w:sz w:val="28"/>
      <w:szCs w:val="28"/>
    </w:rPr>
  </w:style>
  <w:style w:type="paragraph" w:customStyle="1" w:styleId="xl49">
    <w:name w:val="xl49"/>
    <w:basedOn w:val="a0"/>
    <w:qFormat/>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harCharChar1Char">
    <w:name w:val="Char Char Char1 Char"/>
    <w:basedOn w:val="a0"/>
    <w:qFormat/>
    <w:rPr>
      <w:rFonts w:ascii="Tahoma" w:eastAsia="宋体" w:hAnsi="Tahoma" w:cs="Times New Roman"/>
      <w:sz w:val="24"/>
      <w:szCs w:val="20"/>
    </w:rPr>
  </w:style>
  <w:style w:type="paragraph" w:customStyle="1" w:styleId="Parties">
    <w:name w:val="Parties"/>
    <w:basedOn w:val="a0"/>
    <w:qFormat/>
    <w:pPr>
      <w:widowControl/>
      <w:tabs>
        <w:tab w:val="left" w:pos="1106"/>
      </w:tabs>
      <w:spacing w:after="140" w:line="290" w:lineRule="auto"/>
      <w:ind w:left="1106" w:hanging="686"/>
    </w:pPr>
    <w:rPr>
      <w:rFonts w:ascii="Arial" w:eastAsia="宋体" w:hAnsi="Arial" w:cs="Times New Roman"/>
      <w:kern w:val="20"/>
      <w:sz w:val="20"/>
      <w:szCs w:val="24"/>
      <w:lang w:eastAsia="en-US"/>
    </w:rPr>
  </w:style>
  <w:style w:type="paragraph" w:customStyle="1" w:styleId="xl216">
    <w:name w:val="xl216"/>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CharCharCharCharChar2">
    <w:name w:val="Char Char Char Char Char Char Char Char Char Char2"/>
    <w:basedOn w:val="a0"/>
    <w:qFormat/>
    <w:rPr>
      <w:rFonts w:ascii="Tahoma" w:eastAsia="宋体" w:hAnsi="Tahoma" w:cs="Times New Roman"/>
      <w:sz w:val="24"/>
      <w:szCs w:val="20"/>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210">
    <w:name w:val="xl21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318">
    <w:name w:val="xl3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1">
    <w:name w:val="彩色列表 - 强调文字颜色 11"/>
    <w:basedOn w:val="a0"/>
    <w:uiPriority w:val="34"/>
    <w:qFormat/>
    <w:pPr>
      <w:ind w:firstLineChars="200" w:firstLine="420"/>
    </w:pPr>
    <w:rPr>
      <w:rFonts w:ascii="Times New Roman" w:eastAsia="宋体" w:hAnsi="Times New Roman" w:cs="Times New Roman"/>
      <w:szCs w:val="24"/>
    </w:rPr>
  </w:style>
  <w:style w:type="paragraph" w:customStyle="1" w:styleId="xl332">
    <w:name w:val="xl3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H1">
    <w:name w:val="H1"/>
    <w:basedOn w:val="1"/>
    <w:qFormat/>
    <w:pPr>
      <w:widowControl/>
      <w:overflowPunct w:val="0"/>
      <w:autoSpaceDE w:val="0"/>
      <w:autoSpaceDN w:val="0"/>
      <w:spacing w:before="240" w:after="240" w:line="360" w:lineRule="atLeast"/>
      <w:ind w:right="57"/>
      <w:jc w:val="center"/>
      <w:outlineLvl w:val="9"/>
    </w:pPr>
    <w:rPr>
      <w:rFonts w:ascii="黑体"/>
      <w:b/>
      <w:kern w:val="0"/>
      <w:sz w:val="30"/>
      <w:lang w:val="en-US"/>
    </w:rPr>
  </w:style>
  <w:style w:type="paragraph" w:customStyle="1" w:styleId="yu">
    <w:name w:val="正文yu"/>
    <w:basedOn w:val="30"/>
    <w:qFormat/>
    <w:pPr>
      <w:ind w:firstLineChars="200" w:firstLine="560"/>
      <w:jc w:val="both"/>
    </w:pPr>
    <w:rPr>
      <w:rFonts w:ascii="Times New Roman" w:eastAsia="仿宋_GB2312" w:hAnsi="Times New Roman"/>
      <w:sz w:val="28"/>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affff5">
    <w:name w:val="图"/>
    <w:basedOn w:val="a0"/>
    <w:qFormat/>
    <w:pPr>
      <w:ind w:firstLineChars="200" w:firstLine="420"/>
    </w:pPr>
    <w:rPr>
      <w:rFonts w:ascii="Times New Roman" w:eastAsia="宋体" w:hAnsi="Times New Roman" w:cs="Times New Roman"/>
      <w:szCs w:val="24"/>
    </w:rPr>
  </w:style>
  <w:style w:type="paragraph" w:customStyle="1" w:styleId="220">
    <w:name w:val="正文文本缩进 22"/>
    <w:basedOn w:val="a0"/>
    <w:qFormat/>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paragraph" w:customStyle="1" w:styleId="font8">
    <w:name w:val="font8"/>
    <w:basedOn w:val="a0"/>
    <w:qFormat/>
    <w:pPr>
      <w:widowControl/>
      <w:spacing w:before="100" w:beforeAutospacing="1" w:after="100" w:afterAutospacing="1"/>
      <w:jc w:val="left"/>
    </w:pPr>
    <w:rPr>
      <w:rFonts w:ascii="宋体" w:eastAsia="宋体" w:hAnsi="宋体" w:cs="Times New Roman" w:hint="eastAsia"/>
      <w:b/>
      <w:bCs/>
      <w:color w:val="000000"/>
      <w:kern w:val="0"/>
      <w:sz w:val="18"/>
      <w:szCs w:val="18"/>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TOC1">
    <w:name w:val="TOC 标题1"/>
    <w:basedOn w:val="1"/>
    <w:next w:val="a0"/>
    <w:uiPriority w:val="39"/>
    <w:qFormat/>
    <w:pPr>
      <w:widowControl/>
      <w:adjustRightInd/>
      <w:spacing w:before="480" w:after="0" w:line="276" w:lineRule="auto"/>
      <w:jc w:val="left"/>
      <w:textAlignment w:val="auto"/>
      <w:outlineLvl w:val="9"/>
    </w:pPr>
    <w:rPr>
      <w:rFonts w:ascii="Cambria" w:eastAsia="宋体" w:hAnsi="Cambria"/>
      <w:b/>
      <w:bCs/>
      <w:color w:val="365F91"/>
      <w:kern w:val="0"/>
      <w:sz w:val="28"/>
      <w:szCs w:val="28"/>
      <w:lang w:val="en-US"/>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24"/>
      <w:szCs w:val="24"/>
    </w:rPr>
  </w:style>
  <w:style w:type="paragraph" w:customStyle="1" w:styleId="44">
    <w:name w:val="封面4"/>
    <w:qFormat/>
    <w:pPr>
      <w:widowControl w:val="0"/>
      <w:adjustRightInd w:val="0"/>
      <w:spacing w:line="312" w:lineRule="atLeast"/>
      <w:jc w:val="center"/>
      <w:textAlignment w:val="baseline"/>
    </w:pPr>
    <w:rPr>
      <w:rFonts w:ascii="宋体"/>
      <w:sz w:val="21"/>
      <w:szCs w:val="21"/>
    </w:rPr>
  </w:style>
  <w:style w:type="paragraph" w:customStyle="1" w:styleId="xl98">
    <w:name w:val="xl9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314">
    <w:name w:val="正文文本缩进 31"/>
    <w:basedOn w:val="a0"/>
    <w:qFormat/>
    <w:pPr>
      <w:overflowPunct w:val="0"/>
      <w:autoSpaceDE w:val="0"/>
      <w:autoSpaceDN w:val="0"/>
      <w:adjustRightInd w:val="0"/>
      <w:spacing w:before="120" w:after="120" w:line="360" w:lineRule="auto"/>
      <w:ind w:firstLine="539"/>
      <w:textAlignment w:val="baseline"/>
    </w:pPr>
    <w:rPr>
      <w:rFonts w:ascii="宋体" w:eastAsia="宋体" w:hAnsi="Times New Roman" w:cs="Times New Roman"/>
      <w:sz w:val="28"/>
      <w:szCs w:val="20"/>
    </w:rPr>
  </w:style>
  <w:style w:type="paragraph" w:customStyle="1" w:styleId="112">
    <w:name w:val="正文文本缩进11"/>
    <w:basedOn w:val="a0"/>
    <w:qFormat/>
    <w:pPr>
      <w:tabs>
        <w:tab w:val="left" w:pos="1400"/>
      </w:tabs>
      <w:spacing w:before="156" w:after="156" w:line="520" w:lineRule="exact"/>
      <w:ind w:firstLine="480"/>
    </w:pPr>
    <w:rPr>
      <w:rFonts w:ascii="Times New Roman" w:eastAsia="仿宋_GB2312" w:hAnsi="Times New Roman" w:cs="Times New Roman"/>
      <w:sz w:val="28"/>
      <w:szCs w:val="28"/>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2f1">
    <w:name w:val="样式 标题 2 + (中文) 黑体 四号 非加粗"/>
    <w:basedOn w:val="20"/>
    <w:qFormat/>
    <w:pPr>
      <w:spacing w:before="360" w:after="120"/>
      <w:jc w:val="both"/>
    </w:pPr>
    <w:rPr>
      <w:rFonts w:ascii="黑体" w:hAnsi="Times New Roman"/>
      <w:sz w:val="28"/>
    </w:rPr>
  </w:style>
  <w:style w:type="paragraph" w:customStyle="1" w:styleId="xl311">
    <w:name w:val="xl3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9">
    <w:name w:val="xl199"/>
    <w:basedOn w:val="a0"/>
    <w:qFormat/>
    <w:pPr>
      <w:widowControl/>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bCs/>
      <w:kern w:val="0"/>
      <w:sz w:val="16"/>
      <w:szCs w:val="16"/>
    </w:rPr>
  </w:style>
  <w:style w:type="paragraph" w:customStyle="1" w:styleId="315">
    <w:name w:val="网格表 31"/>
    <w:basedOn w:val="1"/>
    <w:next w:val="a0"/>
    <w:uiPriority w:val="39"/>
    <w:qFormat/>
    <w:pPr>
      <w:widowControl/>
      <w:adjustRightInd/>
      <w:spacing w:before="480" w:after="0" w:line="276" w:lineRule="auto"/>
      <w:jc w:val="left"/>
      <w:textAlignment w:val="auto"/>
      <w:outlineLvl w:val="9"/>
    </w:pPr>
    <w:rPr>
      <w:rFonts w:ascii="Cambria" w:eastAsia="宋体" w:hAnsi="Cambria"/>
      <w:b/>
      <w:bCs/>
      <w:color w:val="365F91"/>
      <w:kern w:val="0"/>
      <w:sz w:val="28"/>
      <w:szCs w:val="28"/>
      <w:lang w:val="en-US"/>
    </w:rPr>
  </w:style>
  <w:style w:type="paragraph" w:customStyle="1" w:styleId="xl203">
    <w:name w:val="xl20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2"/>
    </w:rPr>
  </w:style>
  <w:style w:type="paragraph" w:customStyle="1" w:styleId="xl204">
    <w:name w:val="xl204"/>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102">
    <w:name w:val="xl102"/>
    <w:basedOn w:val="a0"/>
    <w:qFormat/>
    <w:pPr>
      <w:widowControl/>
      <w:pBdr>
        <w:left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CharCharCharCharCharCharCharCharCharChar1">
    <w:name w:val="Char Char Char Char Char Char Char Char Char Char1"/>
    <w:basedOn w:val="a0"/>
    <w:qFormat/>
    <w:rPr>
      <w:rFonts w:ascii="Tahoma" w:eastAsia="宋体" w:hAnsi="Tahoma" w:cs="Times New Roman"/>
      <w:sz w:val="24"/>
      <w:szCs w:val="20"/>
    </w:rPr>
  </w:style>
  <w:style w:type="paragraph" w:customStyle="1" w:styleId="xl366">
    <w:name w:val="xl36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3">
    <w:name w:val="ÑùÊ½1"/>
    <w:basedOn w:val="a0"/>
    <w:qFormat/>
    <w:pPr>
      <w:overflowPunct w:val="0"/>
      <w:autoSpaceDE w:val="0"/>
      <w:autoSpaceDN w:val="0"/>
      <w:adjustRightInd w:val="0"/>
      <w:spacing w:line="360" w:lineRule="auto"/>
      <w:ind w:firstLine="540"/>
      <w:textAlignment w:val="baseline"/>
    </w:pPr>
    <w:rPr>
      <w:rFonts w:ascii="宋体" w:eastAsia="宋体" w:hAnsi="Times New Roman" w:cs="Times New Roman"/>
      <w:color w:val="0000FF"/>
      <w:sz w:val="18"/>
      <w:szCs w:val="20"/>
    </w:rPr>
  </w:style>
  <w:style w:type="paragraph" w:customStyle="1" w:styleId="Char14">
    <w:name w:val="Char1"/>
    <w:basedOn w:val="a0"/>
    <w:qFormat/>
    <w:rPr>
      <w:rFonts w:ascii="Tahoma" w:eastAsia="宋体" w:hAnsi="Tahoma" w:cs="Times New Roman"/>
      <w:sz w:val="24"/>
      <w:szCs w:val="20"/>
    </w:rPr>
  </w:style>
  <w:style w:type="paragraph" w:customStyle="1" w:styleId="xl215">
    <w:name w:val="xl2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宋体" w:hAnsi="Arial Narrow" w:cs="宋体"/>
      <w:kern w:val="0"/>
      <w:sz w:val="18"/>
      <w:szCs w:val="18"/>
    </w:rPr>
  </w:style>
  <w:style w:type="paragraph" w:customStyle="1" w:styleId="-31">
    <w:name w:val="浅色网格 - 强调文字颜色 31"/>
    <w:basedOn w:val="a0"/>
    <w:uiPriority w:val="34"/>
    <w:qFormat/>
    <w:pPr>
      <w:ind w:firstLineChars="200" w:firstLine="420"/>
    </w:pPr>
    <w:rPr>
      <w:rFonts w:ascii="Times New Roman" w:eastAsia="宋体" w:hAnsi="Times New Roman" w:cs="Times New Roman"/>
      <w:szCs w:val="24"/>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bCs/>
      <w:kern w:val="0"/>
      <w:sz w:val="16"/>
      <w:szCs w:val="16"/>
    </w:rPr>
  </w:style>
  <w:style w:type="paragraph" w:customStyle="1" w:styleId="xl63">
    <w:name w:val="xl6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151">
    <w:name w:val="样式 两端对齐 行距: 1.5 倍行距"/>
    <w:basedOn w:val="a0"/>
    <w:qFormat/>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4data">
    <w:name w:val="4data"/>
    <w:basedOn w:val="a2"/>
    <w:uiPriority w:val="99"/>
    <w:qFormat/>
  </w:style>
  <w:style w:type="character" w:customStyle="1" w:styleId="font111">
    <w:name w:val="font111"/>
    <w:basedOn w:val="a2"/>
    <w:qFormat/>
    <w:rPr>
      <w:rFonts w:ascii="宋体" w:eastAsia="宋体" w:hAnsi="宋体" w:cs="宋体" w:hint="eastAsia"/>
      <w:color w:val="000000"/>
      <w:sz w:val="23"/>
      <w:szCs w:val="23"/>
      <w:u w:val="none"/>
    </w:rPr>
  </w:style>
  <w:style w:type="character" w:customStyle="1" w:styleId="font121">
    <w:name w:val="font121"/>
    <w:basedOn w:val="a2"/>
    <w:qFormat/>
    <w:rPr>
      <w:rFonts w:ascii="Times New Roman" w:hAnsi="Times New Roman" w:cs="Times New Roman" w:hint="default"/>
      <w:color w:val="000000"/>
      <w:sz w:val="21"/>
      <w:szCs w:val="21"/>
      <w:u w:val="none"/>
      <w:vertAlign w:val="subscript"/>
    </w:rPr>
  </w:style>
  <w:style w:type="paragraph" w:customStyle="1" w:styleId="TableParagraph">
    <w:name w:val="Table Paragraph"/>
    <w:basedOn w:val="a0"/>
    <w:uiPriority w:val="1"/>
    <w:qFormat/>
    <w:rPr>
      <w:rFonts w:ascii="Arial Narrow" w:eastAsia="Arial Narrow" w:hAnsi="Arial Narrow" w:cs="Arial Narrow"/>
      <w:lang w:val="zh-CN" w:bidi="zh-CN"/>
    </w:rPr>
  </w:style>
  <w:style w:type="paragraph" w:customStyle="1" w:styleId="Style565">
    <w:name w:val="_Style 565"/>
    <w:basedOn w:val="a0"/>
    <w:next w:val="affc"/>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qFormat="1"/>
    <w:lsdException w:name="annotation text" w:uiPriority="0" w:unhideWhenUsed="1" w:qFormat="1"/>
    <w:lsdException w:name="header" w:uiPriority="0" w:qFormat="1"/>
    <w:lsdException w:name="footer" w:uiPriority="0"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adjustRightInd w:val="0"/>
      <w:spacing w:before="340" w:after="330" w:line="578" w:lineRule="atLeast"/>
      <w:textAlignment w:val="baseline"/>
      <w:outlineLvl w:val="0"/>
    </w:pPr>
    <w:rPr>
      <w:rFonts w:ascii="Times New Roman" w:eastAsia="黑体" w:hAnsi="Times New Roman" w:cs="Times New Roman"/>
      <w:kern w:val="44"/>
      <w:sz w:val="44"/>
      <w:szCs w:val="20"/>
      <w:lang w:val="zh-CN"/>
    </w:rPr>
  </w:style>
  <w:style w:type="paragraph" w:styleId="20">
    <w:name w:val="heading 2"/>
    <w:basedOn w:val="a0"/>
    <w:next w:val="a1"/>
    <w:link w:val="2Char"/>
    <w:qFormat/>
    <w:pPr>
      <w:keepNext/>
      <w:keepLines/>
      <w:adjustRightInd w:val="0"/>
      <w:snapToGrid w:val="0"/>
      <w:spacing w:line="360" w:lineRule="auto"/>
      <w:ind w:firstLineChars="200" w:firstLine="602"/>
      <w:jc w:val="left"/>
      <w:outlineLvl w:val="1"/>
    </w:pPr>
    <w:rPr>
      <w:rFonts w:ascii="Arial" w:eastAsia="宋体" w:hAnsi="Arial" w:cs="Times New Roman"/>
      <w:sz w:val="24"/>
      <w:szCs w:val="20"/>
    </w:rPr>
  </w:style>
  <w:style w:type="paragraph" w:styleId="3">
    <w:name w:val="heading 3"/>
    <w:basedOn w:val="a0"/>
    <w:next w:val="a1"/>
    <w:link w:val="3Char"/>
    <w:qFormat/>
    <w:pPr>
      <w:keepNext/>
      <w:keepLines/>
      <w:adjustRightInd w:val="0"/>
      <w:snapToGrid w:val="0"/>
      <w:spacing w:line="360" w:lineRule="auto"/>
      <w:ind w:firstLineChars="200" w:firstLine="602"/>
      <w:outlineLvl w:val="2"/>
    </w:pPr>
    <w:rPr>
      <w:rFonts w:ascii="Times New Roman" w:eastAsia="宋体" w:hAnsi="Times New Roman" w:cs="Times New Roman"/>
      <w:sz w:val="24"/>
      <w:szCs w:val="20"/>
    </w:rPr>
  </w:style>
  <w:style w:type="paragraph" w:styleId="4">
    <w:name w:val="heading 4"/>
    <w:basedOn w:val="a0"/>
    <w:next w:val="a1"/>
    <w:link w:val="4Char"/>
    <w:qFormat/>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0"/>
    <w:link w:val="5Char"/>
    <w:qFormat/>
    <w:pPr>
      <w:keepNext/>
      <w:autoSpaceDE w:val="0"/>
      <w:autoSpaceDN w:val="0"/>
      <w:adjustRightInd w:val="0"/>
      <w:jc w:val="center"/>
      <w:outlineLvl w:val="4"/>
    </w:pPr>
    <w:rPr>
      <w:rFonts w:ascii="Arial" w:eastAsia="宋体" w:hAnsi="Arial" w:cs="Times New Roman"/>
      <w:b/>
      <w:color w:val="FFFFFF"/>
      <w:sz w:val="20"/>
      <w:szCs w:val="20"/>
    </w:rPr>
  </w:style>
  <w:style w:type="paragraph" w:styleId="6">
    <w:name w:val="heading 6"/>
    <w:basedOn w:val="a0"/>
    <w:next w:val="a0"/>
    <w:link w:val="6Char"/>
    <w:qFormat/>
    <w:pPr>
      <w:keepNext/>
      <w:autoSpaceDE w:val="0"/>
      <w:autoSpaceDN w:val="0"/>
      <w:adjustRightInd w:val="0"/>
      <w:jc w:val="center"/>
      <w:outlineLvl w:val="5"/>
    </w:pPr>
    <w:rPr>
      <w:rFonts w:ascii="Times New Roman" w:eastAsia="宋体" w:hAnsi="Times New Roman" w:cs="Times New Roman"/>
      <w:b/>
      <w:color w:val="FFFFFF"/>
      <w:sz w:val="24"/>
      <w:szCs w:val="20"/>
    </w:rPr>
  </w:style>
  <w:style w:type="paragraph" w:styleId="7">
    <w:name w:val="heading 7"/>
    <w:basedOn w:val="a0"/>
    <w:next w:val="a0"/>
    <w:link w:val="7Char"/>
    <w:qFormat/>
    <w:pPr>
      <w:keepNext/>
      <w:autoSpaceDE w:val="0"/>
      <w:autoSpaceDN w:val="0"/>
      <w:adjustRightInd w:val="0"/>
      <w:spacing w:line="240" w:lineRule="exact"/>
      <w:outlineLvl w:val="6"/>
    </w:pPr>
    <w:rPr>
      <w:rFonts w:ascii="Times New Roman" w:eastAsia="宋体" w:hAnsi="Times New Roman" w:cs="Times New Roman"/>
      <w:b/>
      <w:color w:val="008080"/>
      <w:sz w:val="18"/>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0"/>
    <w:next w:val="a0"/>
    <w:link w:val="9Char"/>
    <w:qFormat/>
    <w:pPr>
      <w:keepNext/>
      <w:keepLines/>
      <w:numPr>
        <w:numId w:val="1"/>
      </w:numPr>
      <w:tabs>
        <w:tab w:val="left" w:pos="720"/>
        <w:tab w:val="left" w:pos="10440"/>
      </w:tabs>
      <w:autoSpaceDE w:val="0"/>
      <w:autoSpaceDN w:val="0"/>
      <w:adjustRightInd w:val="0"/>
      <w:snapToGrid w:val="0"/>
      <w:spacing w:before="60" w:after="60" w:line="240" w:lineRule="atLeast"/>
      <w:jc w:val="center"/>
      <w:textAlignment w:val="bottom"/>
      <w:outlineLvl w:val="8"/>
    </w:pPr>
    <w:rPr>
      <w:rFonts w:ascii="Arial" w:eastAsia="仿宋_GB2312" w:hAnsi="Arial" w:cs="Times New Roman"/>
      <w:color w:val="000000"/>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rFonts w:ascii="Times New Roman" w:eastAsia="宋体" w:hAnsi="Times New Roman" w:cs="Times New Roman"/>
      <w:sz w:val="24"/>
      <w:szCs w:val="20"/>
      <w:lang w:val="zh-CN"/>
    </w:rPr>
  </w:style>
  <w:style w:type="paragraph" w:styleId="70">
    <w:name w:val="toc 7"/>
    <w:basedOn w:val="a0"/>
    <w:next w:val="a0"/>
    <w:semiHidden/>
    <w:qFormat/>
    <w:pPr>
      <w:ind w:left="2520"/>
    </w:pPr>
    <w:rPr>
      <w:rFonts w:ascii="Times New Roman" w:eastAsia="宋体" w:hAnsi="Times New Roman" w:cs="Times New Roman"/>
      <w:szCs w:val="20"/>
    </w:rPr>
  </w:style>
  <w:style w:type="paragraph" w:styleId="80">
    <w:name w:val="index 8"/>
    <w:basedOn w:val="a0"/>
    <w:next w:val="a0"/>
    <w:semiHidden/>
    <w:qFormat/>
    <w:pPr>
      <w:ind w:left="2940"/>
    </w:pPr>
    <w:rPr>
      <w:rFonts w:ascii="Times New Roman" w:eastAsia="宋体" w:hAnsi="Times New Roman" w:cs="Times New Roman"/>
      <w:sz w:val="24"/>
      <w:szCs w:val="20"/>
    </w:rPr>
  </w:style>
  <w:style w:type="paragraph" w:styleId="a5">
    <w:name w:val="caption"/>
    <w:basedOn w:val="a0"/>
    <w:next w:val="a0"/>
    <w:qFormat/>
    <w:rPr>
      <w:rFonts w:ascii="Cambria" w:eastAsia="黑体" w:hAnsi="Cambria" w:cs="Times New Roman"/>
      <w:sz w:val="20"/>
      <w:szCs w:val="20"/>
    </w:rPr>
  </w:style>
  <w:style w:type="paragraph" w:styleId="50">
    <w:name w:val="index 5"/>
    <w:basedOn w:val="a0"/>
    <w:next w:val="a0"/>
    <w:semiHidden/>
    <w:qFormat/>
    <w:pPr>
      <w:ind w:left="1680"/>
    </w:pPr>
    <w:rPr>
      <w:rFonts w:ascii="Times New Roman" w:eastAsia="宋体" w:hAnsi="Times New Roman" w:cs="Times New Roman"/>
      <w:sz w:val="24"/>
      <w:szCs w:val="20"/>
    </w:rPr>
  </w:style>
  <w:style w:type="paragraph" w:styleId="a6">
    <w:name w:val="List Bullet"/>
    <w:basedOn w:val="a0"/>
    <w:link w:val="Char0"/>
    <w:qFormat/>
    <w:pPr>
      <w:tabs>
        <w:tab w:val="left" w:pos="420"/>
      </w:tabs>
      <w:ind w:left="420" w:hanging="420"/>
    </w:pPr>
    <w:rPr>
      <w:szCs w:val="24"/>
    </w:rPr>
  </w:style>
  <w:style w:type="paragraph" w:styleId="a7">
    <w:name w:val="Document Map"/>
    <w:basedOn w:val="a0"/>
    <w:link w:val="Char1"/>
    <w:qFormat/>
    <w:pPr>
      <w:shd w:val="clear" w:color="auto" w:fill="000080"/>
    </w:pPr>
    <w:rPr>
      <w:rFonts w:ascii="Times New Roman" w:eastAsia="宋体" w:hAnsi="Times New Roman" w:cs="Times New Roman"/>
      <w:szCs w:val="20"/>
    </w:rPr>
  </w:style>
  <w:style w:type="paragraph" w:styleId="a8">
    <w:name w:val="toa heading"/>
    <w:basedOn w:val="a0"/>
    <w:next w:val="a0"/>
    <w:qFormat/>
    <w:pPr>
      <w:spacing w:before="120"/>
    </w:pPr>
    <w:rPr>
      <w:rFonts w:ascii="Arial" w:eastAsia="宋体" w:hAnsi="Arial" w:cs="Times New Roman"/>
      <w:sz w:val="24"/>
      <w:szCs w:val="20"/>
    </w:rPr>
  </w:style>
  <w:style w:type="paragraph" w:styleId="a9">
    <w:name w:val="annotation text"/>
    <w:basedOn w:val="a0"/>
    <w:link w:val="Char2"/>
    <w:unhideWhenUsed/>
    <w:qFormat/>
    <w:pPr>
      <w:jc w:val="left"/>
    </w:pPr>
  </w:style>
  <w:style w:type="paragraph" w:styleId="60">
    <w:name w:val="index 6"/>
    <w:basedOn w:val="a0"/>
    <w:next w:val="a0"/>
    <w:semiHidden/>
    <w:qFormat/>
    <w:pPr>
      <w:ind w:left="2100"/>
    </w:pPr>
    <w:rPr>
      <w:rFonts w:ascii="Times New Roman" w:eastAsia="宋体" w:hAnsi="Times New Roman" w:cs="Times New Roman"/>
      <w:sz w:val="24"/>
      <w:szCs w:val="20"/>
    </w:rPr>
  </w:style>
  <w:style w:type="paragraph" w:styleId="30">
    <w:name w:val="Body Text 3"/>
    <w:basedOn w:val="a0"/>
    <w:link w:val="3Char0"/>
    <w:qFormat/>
    <w:pPr>
      <w:spacing w:line="360" w:lineRule="auto"/>
      <w:jc w:val="left"/>
    </w:pPr>
    <w:rPr>
      <w:rFonts w:ascii="宋体" w:eastAsia="宋体" w:hAnsi="宋体" w:cs="Times New Roman"/>
      <w:sz w:val="20"/>
      <w:szCs w:val="20"/>
    </w:rPr>
  </w:style>
  <w:style w:type="paragraph" w:styleId="aa">
    <w:name w:val="Body Text"/>
    <w:basedOn w:val="a0"/>
    <w:link w:val="Char20"/>
    <w:qFormat/>
    <w:pPr>
      <w:widowControl/>
      <w:jc w:val="left"/>
    </w:pPr>
    <w:rPr>
      <w:rFonts w:ascii="Times New Roman" w:eastAsia="宋体" w:hAnsi="Times New Roman" w:cs="Times New Roman"/>
      <w:kern w:val="0"/>
      <w:sz w:val="30"/>
      <w:szCs w:val="20"/>
    </w:rPr>
  </w:style>
  <w:style w:type="paragraph" w:styleId="ab">
    <w:name w:val="Body Text Indent"/>
    <w:basedOn w:val="a0"/>
    <w:link w:val="Char21"/>
    <w:qFormat/>
    <w:pPr>
      <w:adjustRightInd w:val="0"/>
      <w:spacing w:line="312" w:lineRule="atLeast"/>
      <w:ind w:firstLine="630"/>
      <w:textAlignment w:val="baseline"/>
    </w:pPr>
    <w:rPr>
      <w:rFonts w:ascii="Times New Roman" w:eastAsia="楷体_GB2312" w:hAnsi="Times New Roman" w:cs="Times New Roman"/>
      <w:b/>
      <w:kern w:val="0"/>
      <w:sz w:val="28"/>
      <w:szCs w:val="20"/>
    </w:rPr>
  </w:style>
  <w:style w:type="paragraph" w:styleId="21">
    <w:name w:val="List 2"/>
    <w:basedOn w:val="a0"/>
    <w:qFormat/>
    <w:pPr>
      <w:ind w:leftChars="200" w:left="100" w:hangingChars="200" w:hanging="200"/>
    </w:pPr>
    <w:rPr>
      <w:rFonts w:ascii="Times New Roman" w:eastAsia="宋体" w:hAnsi="Times New Roman" w:cs="Times New Roman"/>
      <w:szCs w:val="24"/>
    </w:rPr>
  </w:style>
  <w:style w:type="paragraph" w:styleId="ac">
    <w:name w:val="List Continue"/>
    <w:basedOn w:val="a0"/>
    <w:qFormat/>
    <w:pPr>
      <w:spacing w:after="120"/>
      <w:ind w:leftChars="200" w:left="420"/>
    </w:pPr>
    <w:rPr>
      <w:rFonts w:ascii="Times New Roman" w:eastAsia="宋体" w:hAnsi="Times New Roman" w:cs="Times New Roman"/>
      <w:szCs w:val="24"/>
    </w:rPr>
  </w:style>
  <w:style w:type="paragraph" w:styleId="ad">
    <w:name w:val="Block Text"/>
    <w:basedOn w:val="a0"/>
    <w:qFormat/>
    <w:pPr>
      <w:snapToGrid w:val="0"/>
      <w:spacing w:line="276" w:lineRule="auto"/>
      <w:ind w:left="900" w:right="926"/>
      <w:jc w:val="center"/>
    </w:pPr>
    <w:rPr>
      <w:rFonts w:ascii="Times New Roman" w:eastAsia="仿宋_GB2312" w:hAnsi="Times New Roman" w:cs="Times New Roman"/>
      <w:b/>
      <w:sz w:val="28"/>
      <w:szCs w:val="20"/>
    </w:rPr>
  </w:style>
  <w:style w:type="paragraph" w:styleId="2">
    <w:name w:val="List Bullet 2"/>
    <w:basedOn w:val="a0"/>
    <w:qFormat/>
    <w:pPr>
      <w:numPr>
        <w:numId w:val="2"/>
      </w:numPr>
      <w:tabs>
        <w:tab w:val="left" w:pos="780"/>
      </w:tabs>
    </w:pPr>
    <w:rPr>
      <w:rFonts w:ascii="Times New Roman" w:eastAsia="宋体" w:hAnsi="Times New Roman" w:cs="Times New Roman"/>
      <w:szCs w:val="20"/>
    </w:rPr>
  </w:style>
  <w:style w:type="paragraph" w:styleId="40">
    <w:name w:val="index 4"/>
    <w:basedOn w:val="a0"/>
    <w:next w:val="a0"/>
    <w:semiHidden/>
    <w:qFormat/>
    <w:pPr>
      <w:ind w:left="1260"/>
    </w:pPr>
    <w:rPr>
      <w:rFonts w:ascii="Times New Roman" w:eastAsia="宋体" w:hAnsi="Times New Roman" w:cs="Times New Roman"/>
      <w:sz w:val="24"/>
      <w:szCs w:val="20"/>
    </w:rPr>
  </w:style>
  <w:style w:type="paragraph" w:styleId="51">
    <w:name w:val="toc 5"/>
    <w:basedOn w:val="a0"/>
    <w:next w:val="a0"/>
    <w:semiHidden/>
    <w:qFormat/>
    <w:pPr>
      <w:ind w:left="1680"/>
    </w:pPr>
    <w:rPr>
      <w:rFonts w:ascii="Times New Roman" w:eastAsia="宋体" w:hAnsi="Times New Roman" w:cs="Times New Roman"/>
      <w:szCs w:val="20"/>
    </w:rPr>
  </w:style>
  <w:style w:type="paragraph" w:styleId="31">
    <w:name w:val="toc 3"/>
    <w:basedOn w:val="a0"/>
    <w:next w:val="a0"/>
    <w:uiPriority w:val="39"/>
    <w:qFormat/>
    <w:pPr>
      <w:ind w:left="840"/>
    </w:pPr>
    <w:rPr>
      <w:rFonts w:ascii="Times New Roman" w:eastAsia="宋体" w:hAnsi="Times New Roman" w:cs="Times New Roman"/>
      <w:sz w:val="24"/>
      <w:szCs w:val="20"/>
    </w:rPr>
  </w:style>
  <w:style w:type="paragraph" w:styleId="ae">
    <w:name w:val="Plain Text"/>
    <w:basedOn w:val="a0"/>
    <w:link w:val="Char3"/>
    <w:qFormat/>
    <w:rPr>
      <w:rFonts w:ascii="宋体" w:eastAsia="宋体" w:hAnsi="Courier New" w:cs="Times New Roman"/>
      <w:sz w:val="24"/>
      <w:szCs w:val="20"/>
    </w:rPr>
  </w:style>
  <w:style w:type="paragraph" w:styleId="81">
    <w:name w:val="toc 8"/>
    <w:basedOn w:val="a0"/>
    <w:next w:val="a0"/>
    <w:semiHidden/>
    <w:qFormat/>
    <w:pPr>
      <w:ind w:left="2940"/>
    </w:pPr>
    <w:rPr>
      <w:rFonts w:ascii="Times New Roman" w:eastAsia="宋体" w:hAnsi="Times New Roman" w:cs="Times New Roman"/>
      <w:szCs w:val="20"/>
    </w:rPr>
  </w:style>
  <w:style w:type="paragraph" w:styleId="32">
    <w:name w:val="index 3"/>
    <w:basedOn w:val="a0"/>
    <w:next w:val="a0"/>
    <w:semiHidden/>
    <w:qFormat/>
    <w:pPr>
      <w:ind w:left="840"/>
    </w:pPr>
    <w:rPr>
      <w:rFonts w:ascii="Times New Roman" w:eastAsia="宋体" w:hAnsi="Times New Roman" w:cs="Times New Roman"/>
      <w:sz w:val="24"/>
      <w:szCs w:val="20"/>
    </w:rPr>
  </w:style>
  <w:style w:type="paragraph" w:styleId="af">
    <w:name w:val="Date"/>
    <w:basedOn w:val="a0"/>
    <w:next w:val="a0"/>
    <w:link w:val="Char4"/>
    <w:qFormat/>
    <w:pPr>
      <w:ind w:leftChars="2500" w:left="100"/>
    </w:pPr>
    <w:rPr>
      <w:rFonts w:ascii="黑体" w:eastAsia="黑体" w:hAnsi="Times New Roman" w:cs="Times New Roman"/>
      <w:sz w:val="32"/>
      <w:szCs w:val="20"/>
    </w:rPr>
  </w:style>
  <w:style w:type="paragraph" w:styleId="22">
    <w:name w:val="Body Text Indent 2"/>
    <w:basedOn w:val="a0"/>
    <w:link w:val="2Char0"/>
    <w:qFormat/>
    <w:pPr>
      <w:spacing w:line="360" w:lineRule="auto"/>
      <w:ind w:firstLine="539"/>
    </w:pPr>
    <w:rPr>
      <w:rFonts w:ascii="宋体" w:eastAsia="宋体" w:hAnsi="Times New Roman" w:cs="Times New Roman"/>
      <w:sz w:val="24"/>
      <w:szCs w:val="20"/>
    </w:rPr>
  </w:style>
  <w:style w:type="paragraph" w:styleId="af0">
    <w:name w:val="Balloon Text"/>
    <w:basedOn w:val="a0"/>
    <w:link w:val="Char5"/>
    <w:semiHidden/>
    <w:qFormat/>
    <w:rPr>
      <w:rFonts w:ascii="Times New Roman" w:eastAsia="宋体" w:hAnsi="Times New Roman" w:cs="Times New Roman"/>
      <w:sz w:val="18"/>
      <w:szCs w:val="18"/>
    </w:rPr>
  </w:style>
  <w:style w:type="paragraph" w:styleId="af1">
    <w:name w:val="footer"/>
    <w:basedOn w:val="a0"/>
    <w:link w:val="Char6"/>
    <w:qFormat/>
    <w:pPr>
      <w:tabs>
        <w:tab w:val="center" w:pos="4153"/>
        <w:tab w:val="right" w:pos="8306"/>
      </w:tabs>
      <w:snapToGrid w:val="0"/>
      <w:jc w:val="left"/>
    </w:pPr>
    <w:rPr>
      <w:rFonts w:ascii="Times New Roman" w:eastAsia="宋体" w:hAnsi="Times New Roman" w:cs="Times New Roman"/>
      <w:sz w:val="18"/>
      <w:szCs w:val="20"/>
      <w:lang w:val="zh-CN"/>
    </w:rPr>
  </w:style>
  <w:style w:type="paragraph" w:styleId="af2">
    <w:name w:val="header"/>
    <w:basedOn w:val="a0"/>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af3">
    <w:name w:val="Signature"/>
    <w:basedOn w:val="a0"/>
    <w:link w:val="Char8"/>
    <w:qFormat/>
    <w:pPr>
      <w:ind w:leftChars="2100" w:left="100"/>
    </w:pPr>
    <w:rPr>
      <w:szCs w:val="24"/>
    </w:rPr>
  </w:style>
  <w:style w:type="paragraph" w:styleId="10">
    <w:name w:val="toc 1"/>
    <w:basedOn w:val="a0"/>
    <w:next w:val="a0"/>
    <w:uiPriority w:val="39"/>
    <w:qFormat/>
    <w:rPr>
      <w:rFonts w:ascii="Times New Roman" w:eastAsia="宋体" w:hAnsi="Times New Roman" w:cs="Times New Roman"/>
      <w:szCs w:val="20"/>
    </w:rPr>
  </w:style>
  <w:style w:type="paragraph" w:styleId="41">
    <w:name w:val="toc 4"/>
    <w:basedOn w:val="a0"/>
    <w:next w:val="a0"/>
    <w:semiHidden/>
    <w:qFormat/>
    <w:pPr>
      <w:ind w:left="1260"/>
    </w:pPr>
    <w:rPr>
      <w:rFonts w:ascii="Times New Roman" w:eastAsia="宋体" w:hAnsi="Times New Roman" w:cs="Times New Roman"/>
      <w:szCs w:val="20"/>
    </w:rPr>
  </w:style>
  <w:style w:type="paragraph" w:styleId="af4">
    <w:name w:val="index heading"/>
    <w:basedOn w:val="a0"/>
    <w:next w:val="11"/>
    <w:semiHidden/>
    <w:qFormat/>
    <w:rPr>
      <w:rFonts w:ascii="Times New Roman" w:eastAsia="宋体" w:hAnsi="Times New Roman" w:cs="Times New Roman"/>
      <w:sz w:val="24"/>
      <w:szCs w:val="20"/>
    </w:rPr>
  </w:style>
  <w:style w:type="paragraph" w:styleId="11">
    <w:name w:val="index 1"/>
    <w:basedOn w:val="a0"/>
    <w:next w:val="a0"/>
    <w:unhideWhenUsed/>
    <w:qFormat/>
  </w:style>
  <w:style w:type="paragraph" w:styleId="af5">
    <w:name w:val="List"/>
    <w:basedOn w:val="a0"/>
    <w:qFormat/>
    <w:pPr>
      <w:widowControl/>
      <w:ind w:left="283" w:hanging="283"/>
      <w:jc w:val="left"/>
    </w:pPr>
    <w:rPr>
      <w:rFonts w:ascii="Times New Roman" w:eastAsia="宋体" w:hAnsi="Times New Roman" w:cs="Times New Roman"/>
      <w:kern w:val="0"/>
      <w:sz w:val="20"/>
      <w:szCs w:val="20"/>
    </w:rPr>
  </w:style>
  <w:style w:type="paragraph" w:styleId="af6">
    <w:name w:val="footnote text"/>
    <w:basedOn w:val="a0"/>
    <w:link w:val="Char9"/>
    <w:uiPriority w:val="99"/>
    <w:qFormat/>
    <w:pPr>
      <w:snapToGrid w:val="0"/>
      <w:jc w:val="left"/>
    </w:pPr>
    <w:rPr>
      <w:rFonts w:ascii="Times New Roman" w:eastAsia="宋体" w:hAnsi="Times New Roman" w:cs="Times New Roman"/>
      <w:sz w:val="18"/>
      <w:szCs w:val="20"/>
    </w:rPr>
  </w:style>
  <w:style w:type="paragraph" w:styleId="61">
    <w:name w:val="toc 6"/>
    <w:basedOn w:val="a0"/>
    <w:next w:val="a0"/>
    <w:semiHidden/>
    <w:qFormat/>
    <w:pPr>
      <w:ind w:left="2100"/>
    </w:pPr>
    <w:rPr>
      <w:rFonts w:ascii="Times New Roman" w:eastAsia="宋体" w:hAnsi="Times New Roman" w:cs="Times New Roman"/>
      <w:szCs w:val="20"/>
    </w:rPr>
  </w:style>
  <w:style w:type="paragraph" w:styleId="33">
    <w:name w:val="Body Text Indent 3"/>
    <w:basedOn w:val="a0"/>
    <w:link w:val="3Char1"/>
    <w:qFormat/>
    <w:pPr>
      <w:ind w:firstLine="560"/>
    </w:pPr>
    <w:rPr>
      <w:rFonts w:ascii="宋体" w:eastAsia="宋体" w:hAnsi="Times New Roman" w:cs="Times New Roman"/>
      <w:sz w:val="24"/>
      <w:szCs w:val="20"/>
    </w:rPr>
  </w:style>
  <w:style w:type="paragraph" w:styleId="71">
    <w:name w:val="index 7"/>
    <w:basedOn w:val="a0"/>
    <w:next w:val="a0"/>
    <w:semiHidden/>
    <w:qFormat/>
    <w:pPr>
      <w:ind w:left="2520"/>
    </w:pPr>
    <w:rPr>
      <w:rFonts w:ascii="Times New Roman" w:eastAsia="宋体" w:hAnsi="Times New Roman" w:cs="Times New Roman"/>
      <w:sz w:val="24"/>
      <w:szCs w:val="20"/>
    </w:rPr>
  </w:style>
  <w:style w:type="paragraph" w:styleId="90">
    <w:name w:val="index 9"/>
    <w:basedOn w:val="a0"/>
    <w:next w:val="a0"/>
    <w:semiHidden/>
    <w:qFormat/>
    <w:pPr>
      <w:ind w:left="3360"/>
    </w:pPr>
    <w:rPr>
      <w:rFonts w:ascii="Times New Roman" w:eastAsia="宋体" w:hAnsi="Times New Roman" w:cs="Times New Roman"/>
      <w:sz w:val="24"/>
      <w:szCs w:val="20"/>
    </w:rPr>
  </w:style>
  <w:style w:type="paragraph" w:styleId="23">
    <w:name w:val="toc 2"/>
    <w:basedOn w:val="a0"/>
    <w:next w:val="a0"/>
    <w:uiPriority w:val="39"/>
    <w:qFormat/>
    <w:pPr>
      <w:ind w:left="420"/>
    </w:pPr>
    <w:rPr>
      <w:rFonts w:ascii="Times New Roman" w:eastAsia="宋体" w:hAnsi="Times New Roman" w:cs="Times New Roman"/>
      <w:sz w:val="24"/>
      <w:szCs w:val="20"/>
    </w:rPr>
  </w:style>
  <w:style w:type="paragraph" w:styleId="91">
    <w:name w:val="toc 9"/>
    <w:basedOn w:val="a0"/>
    <w:next w:val="a0"/>
    <w:semiHidden/>
    <w:qFormat/>
    <w:pPr>
      <w:ind w:left="3360"/>
    </w:pPr>
    <w:rPr>
      <w:rFonts w:ascii="Times New Roman" w:eastAsia="宋体" w:hAnsi="Times New Roman" w:cs="Times New Roman"/>
      <w:szCs w:val="20"/>
    </w:rPr>
  </w:style>
  <w:style w:type="paragraph" w:styleId="24">
    <w:name w:val="Body Text 2"/>
    <w:basedOn w:val="a0"/>
    <w:link w:val="2Char1"/>
    <w:qFormat/>
    <w:pPr>
      <w:spacing w:line="360" w:lineRule="auto"/>
    </w:pPr>
    <w:rPr>
      <w:rFonts w:ascii="宋体" w:eastAsia="宋体" w:hAnsi="宋体" w:cs="Times New Roman"/>
      <w:color w:val="FF0000"/>
      <w:sz w:val="24"/>
      <w:szCs w:val="20"/>
    </w:rPr>
  </w:style>
  <w:style w:type="paragraph" w:styleId="25">
    <w:name w:val="List Continue 2"/>
    <w:basedOn w:val="a0"/>
    <w:qFormat/>
    <w:pPr>
      <w:spacing w:after="120"/>
      <w:ind w:leftChars="400" w:left="840"/>
    </w:pPr>
    <w:rPr>
      <w:rFonts w:ascii="Times New Roman" w:eastAsia="宋体" w:hAnsi="Times New Roman" w:cs="Times New Roman"/>
      <w:szCs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7">
    <w:name w:val="Normal (Web)"/>
    <w:basedOn w:val="a0"/>
    <w:link w:val="Chara"/>
    <w:qFormat/>
    <w:pPr>
      <w:widowControl/>
      <w:spacing w:before="100" w:beforeAutospacing="1" w:after="100" w:afterAutospacing="1"/>
      <w:jc w:val="left"/>
    </w:pPr>
    <w:rPr>
      <w:rFonts w:ascii="宋体" w:eastAsia="宋体" w:hAnsi="宋体" w:cs="Times New Roman"/>
      <w:color w:val="0A043D"/>
      <w:kern w:val="0"/>
      <w:sz w:val="24"/>
      <w:szCs w:val="24"/>
    </w:rPr>
  </w:style>
  <w:style w:type="paragraph" w:styleId="26">
    <w:name w:val="index 2"/>
    <w:basedOn w:val="a0"/>
    <w:next w:val="a0"/>
    <w:semiHidden/>
    <w:qFormat/>
    <w:pPr>
      <w:ind w:left="420"/>
    </w:pPr>
    <w:rPr>
      <w:rFonts w:ascii="Times New Roman" w:eastAsia="宋体" w:hAnsi="Times New Roman" w:cs="Times New Roman"/>
      <w:sz w:val="24"/>
      <w:szCs w:val="20"/>
    </w:rPr>
  </w:style>
  <w:style w:type="paragraph" w:styleId="af8">
    <w:name w:val="Title"/>
    <w:basedOn w:val="a0"/>
    <w:next w:val="a0"/>
    <w:link w:val="Charb"/>
    <w:qFormat/>
    <w:pPr>
      <w:spacing w:before="240" w:after="60"/>
      <w:jc w:val="center"/>
      <w:outlineLvl w:val="0"/>
    </w:pPr>
    <w:rPr>
      <w:rFonts w:ascii="Cambria" w:eastAsia="宋体" w:hAnsi="Cambria" w:cs="Times New Roman"/>
      <w:b/>
      <w:bCs/>
      <w:sz w:val="32"/>
      <w:szCs w:val="32"/>
      <w:lang w:val="zh-CN"/>
    </w:rPr>
  </w:style>
  <w:style w:type="paragraph" w:styleId="af9">
    <w:name w:val="annotation subject"/>
    <w:basedOn w:val="a9"/>
    <w:next w:val="a9"/>
    <w:link w:val="Charc"/>
    <w:qFormat/>
    <w:rPr>
      <w:rFonts w:ascii="Times New Roman" w:eastAsia="宋体" w:hAnsi="Times New Roman" w:cs="Times New Roman"/>
      <w:b/>
      <w:bCs/>
      <w:szCs w:val="20"/>
    </w:rPr>
  </w:style>
  <w:style w:type="paragraph" w:styleId="afa">
    <w:name w:val="Body Text First Indent"/>
    <w:basedOn w:val="a0"/>
    <w:link w:val="Chard"/>
    <w:qFormat/>
    <w:pPr>
      <w:snapToGrid w:val="0"/>
      <w:spacing w:line="300" w:lineRule="auto"/>
      <w:ind w:firstLine="556"/>
    </w:pPr>
    <w:rPr>
      <w:rFonts w:ascii="仿宋_GB2312" w:eastAsia="仿宋_GB2312"/>
      <w:sz w:val="28"/>
    </w:rPr>
  </w:style>
  <w:style w:type="paragraph" w:styleId="27">
    <w:name w:val="Body Text First Indent 2"/>
    <w:basedOn w:val="ab"/>
    <w:link w:val="2Char2"/>
    <w:qFormat/>
    <w:pPr>
      <w:adjustRightInd/>
      <w:spacing w:after="120" w:line="240" w:lineRule="auto"/>
      <w:ind w:left="420" w:firstLine="210"/>
      <w:textAlignment w:val="auto"/>
    </w:pPr>
    <w:rPr>
      <w:rFonts w:asciiTheme="minorHAnsi" w:hAnsiTheme="minorHAnsi" w:cstheme="minorBidi"/>
      <w:b w:val="0"/>
      <w:kern w:val="2"/>
      <w:sz w:val="21"/>
      <w:szCs w:val="22"/>
    </w:rPr>
  </w:style>
  <w:style w:type="table" w:styleId="afb">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Simple 1"/>
    <w:basedOn w:val="a3"/>
    <w:qFormat/>
    <w:pPr>
      <w:widowControl w:val="0"/>
      <w:adjustRightInd w:val="0"/>
      <w:snapToGrid w:val="0"/>
      <w:jc w:val="both"/>
    </w:pPr>
    <w:rPr>
      <w:snapToGrid w:val="0"/>
    </w:rPr>
    <w:tblPr>
      <w:jc w:val="center"/>
      <w:tblInd w:w="0" w:type="dxa"/>
      <w:tblBorders>
        <w:top w:val="single" w:sz="8" w:space="0" w:color="auto"/>
        <w:bottom w:val="single" w:sz="8" w:space="0" w:color="auto"/>
        <w:insideH w:val="dotted" w:sz="4" w:space="0" w:color="auto"/>
        <w:insideV w:val="dotted" w:sz="4" w:space="0" w:color="auto"/>
      </w:tblBorders>
      <w:tblCellMar>
        <w:top w:w="0" w:type="dxa"/>
        <w:left w:w="108" w:type="dxa"/>
        <w:bottom w:w="0" w:type="dxa"/>
        <w:right w:w="108" w:type="dxa"/>
      </w:tblCellMar>
    </w:tblPr>
    <w:trPr>
      <w:jc w:val="center"/>
    </w:trPr>
    <w:tcPr>
      <w:shd w:val="clear" w:color="auto" w:fill="auto"/>
    </w:tcPr>
    <w:tblStylePr w:type="firstRow">
      <w:tblPr/>
      <w:tcPr>
        <w:tcBorders>
          <w:top w:val="single" w:sz="6" w:space="0" w:color="auto"/>
          <w:bottom w:val="single" w:sz="6" w:space="0" w:color="auto"/>
        </w:tcBorders>
        <w:shd w:val="clear" w:color="auto" w:fill="auto"/>
      </w:tcPr>
    </w:tblStylePr>
    <w:tblStylePr w:type="lastRow">
      <w:pPr>
        <w:jc w:val="center"/>
      </w:pPr>
      <w:tblPr/>
      <w:tcPr>
        <w:tcBorders>
          <w:top w:val="single" w:sz="6" w:space="0" w:color="auto"/>
        </w:tcBorders>
        <w:shd w:val="clear" w:color="auto" w:fill="auto"/>
      </w:tcPr>
    </w:tblStylePr>
  </w:style>
  <w:style w:type="character" w:styleId="afc">
    <w:name w:val="Strong"/>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rPr>
  </w:style>
  <w:style w:type="character" w:styleId="aff0">
    <w:name w:val="Hyperlink"/>
    <w:uiPriority w:val="99"/>
    <w:qFormat/>
    <w:rPr>
      <w:color w:val="0000FF"/>
      <w:u w:val="single"/>
    </w:rPr>
  </w:style>
  <w:style w:type="character" w:styleId="aff1">
    <w:name w:val="annotation reference"/>
    <w:qFormat/>
    <w:rPr>
      <w:sz w:val="21"/>
    </w:rPr>
  </w:style>
  <w:style w:type="character" w:styleId="aff2">
    <w:name w:val="footnote reference"/>
    <w:semiHidden/>
    <w:qFormat/>
    <w:rPr>
      <w:vertAlign w:val="superscript"/>
    </w:rPr>
  </w:style>
  <w:style w:type="character" w:customStyle="1" w:styleId="2Char">
    <w:name w:val="标题 2 Char"/>
    <w:link w:val="20"/>
    <w:qFormat/>
    <w:rPr>
      <w:rFonts w:ascii="Arial" w:eastAsia="宋体" w:hAnsi="Arial" w:cs="Times New Roman"/>
      <w:sz w:val="24"/>
      <w:szCs w:val="20"/>
    </w:rPr>
  </w:style>
  <w:style w:type="character" w:customStyle="1" w:styleId="3Char">
    <w:name w:val="标题 3 Char"/>
    <w:basedOn w:val="a2"/>
    <w:link w:val="3"/>
    <w:qFormat/>
    <w:rPr>
      <w:rFonts w:ascii="Times New Roman" w:eastAsia="宋体" w:hAnsi="Times New Roman" w:cs="Times New Roman"/>
      <w:sz w:val="24"/>
      <w:szCs w:val="20"/>
    </w:rPr>
  </w:style>
  <w:style w:type="character" w:customStyle="1" w:styleId="4Char">
    <w:name w:val="标题 4 Char"/>
    <w:basedOn w:val="a2"/>
    <w:link w:val="4"/>
    <w:qFormat/>
    <w:rPr>
      <w:rFonts w:ascii="Arial" w:eastAsia="黑体" w:hAnsi="Arial" w:cs="Times New Roman"/>
      <w:b/>
      <w:sz w:val="28"/>
      <w:szCs w:val="20"/>
    </w:rPr>
  </w:style>
  <w:style w:type="character" w:customStyle="1" w:styleId="13">
    <w:name w:val="标题 1 字符"/>
    <w:basedOn w:val="a2"/>
    <w:qFormat/>
    <w:rPr>
      <w:b/>
      <w:bCs/>
      <w:kern w:val="44"/>
      <w:sz w:val="44"/>
      <w:szCs w:val="44"/>
    </w:rPr>
  </w:style>
  <w:style w:type="character" w:customStyle="1" w:styleId="28">
    <w:name w:val="标题 2 字符"/>
    <w:basedOn w:val="a2"/>
    <w:qFormat/>
    <w:rPr>
      <w:rFonts w:asciiTheme="majorHAnsi" w:eastAsiaTheme="majorEastAsia" w:hAnsiTheme="majorHAnsi" w:cstheme="majorBidi"/>
      <w:b/>
      <w:bCs/>
      <w:sz w:val="32"/>
      <w:szCs w:val="32"/>
    </w:rPr>
  </w:style>
  <w:style w:type="character" w:customStyle="1" w:styleId="5Char">
    <w:name w:val="标题 5 Char"/>
    <w:basedOn w:val="a2"/>
    <w:link w:val="5"/>
    <w:qFormat/>
    <w:rPr>
      <w:rFonts w:ascii="Arial" w:eastAsia="宋体" w:hAnsi="Arial" w:cs="Times New Roman"/>
      <w:b/>
      <w:color w:val="FFFFFF"/>
      <w:sz w:val="20"/>
      <w:szCs w:val="20"/>
    </w:rPr>
  </w:style>
  <w:style w:type="character" w:customStyle="1" w:styleId="6Char">
    <w:name w:val="标题 6 Char"/>
    <w:basedOn w:val="a2"/>
    <w:link w:val="6"/>
    <w:qFormat/>
    <w:rPr>
      <w:rFonts w:ascii="Times New Roman" w:eastAsia="宋体" w:hAnsi="Times New Roman" w:cs="Times New Roman"/>
      <w:b/>
      <w:color w:val="FFFFFF"/>
      <w:sz w:val="24"/>
      <w:szCs w:val="20"/>
    </w:rPr>
  </w:style>
  <w:style w:type="character" w:customStyle="1" w:styleId="7Char">
    <w:name w:val="标题 7 Char"/>
    <w:basedOn w:val="a2"/>
    <w:link w:val="7"/>
    <w:qFormat/>
    <w:rPr>
      <w:rFonts w:ascii="Times New Roman" w:eastAsia="宋体" w:hAnsi="Times New Roman" w:cs="Times New Roman"/>
      <w:b/>
      <w:color w:val="008080"/>
      <w:sz w:val="18"/>
      <w:szCs w:val="20"/>
    </w:rPr>
  </w:style>
  <w:style w:type="character" w:customStyle="1" w:styleId="8Char">
    <w:name w:val="标题 8 Char"/>
    <w:basedOn w:val="a2"/>
    <w:link w:val="8"/>
    <w:qFormat/>
    <w:rPr>
      <w:rFonts w:ascii="Arial" w:eastAsia="黑体" w:hAnsi="Arial" w:cs="Times New Roman"/>
      <w:sz w:val="24"/>
      <w:szCs w:val="20"/>
    </w:rPr>
  </w:style>
  <w:style w:type="character" w:customStyle="1" w:styleId="9Char">
    <w:name w:val="标题 9 Char"/>
    <w:basedOn w:val="a2"/>
    <w:link w:val="9"/>
    <w:qFormat/>
    <w:rPr>
      <w:rFonts w:ascii="Arial" w:eastAsia="仿宋_GB2312" w:hAnsi="Arial" w:cs="Times New Roman"/>
      <w:color w:val="000000"/>
      <w:kern w:val="0"/>
      <w:sz w:val="28"/>
      <w:szCs w:val="20"/>
    </w:rPr>
  </w:style>
  <w:style w:type="character" w:customStyle="1" w:styleId="Char">
    <w:name w:val="正文缩进 Char"/>
    <w:link w:val="a1"/>
    <w:qFormat/>
    <w:rPr>
      <w:rFonts w:ascii="Times New Roman" w:eastAsia="宋体" w:hAnsi="Times New Roman" w:cs="Times New Roman"/>
      <w:sz w:val="24"/>
      <w:szCs w:val="20"/>
      <w:lang w:val="zh-CN"/>
    </w:rPr>
  </w:style>
  <w:style w:type="character" w:customStyle="1" w:styleId="1Char">
    <w:name w:val="标题 1 Char"/>
    <w:link w:val="1"/>
    <w:qFormat/>
    <w:rPr>
      <w:rFonts w:ascii="Times New Roman" w:eastAsia="黑体" w:hAnsi="Times New Roman" w:cs="Times New Roman"/>
      <w:kern w:val="44"/>
      <w:sz w:val="44"/>
      <w:szCs w:val="20"/>
      <w:lang w:val="zh-CN"/>
    </w:rPr>
  </w:style>
  <w:style w:type="character" w:customStyle="1" w:styleId="Char2">
    <w:name w:val="批注文字 Char"/>
    <w:basedOn w:val="a2"/>
    <w:link w:val="a9"/>
    <w:qFormat/>
  </w:style>
  <w:style w:type="character" w:customStyle="1" w:styleId="aff3">
    <w:name w:val="批注主题 字符"/>
    <w:basedOn w:val="Char2"/>
    <w:qFormat/>
    <w:rPr>
      <w:b/>
      <w:bCs/>
    </w:rPr>
  </w:style>
  <w:style w:type="character" w:customStyle="1" w:styleId="29">
    <w:name w:val="批注文字 字符2"/>
    <w:uiPriority w:val="99"/>
    <w:qFormat/>
    <w:rPr>
      <w:rFonts w:eastAsia="宋体"/>
      <w:kern w:val="2"/>
      <w:sz w:val="24"/>
      <w:lang w:val="en-US" w:eastAsia="zh-CN" w:bidi="ar-SA"/>
    </w:rPr>
  </w:style>
  <w:style w:type="character" w:customStyle="1" w:styleId="Charc">
    <w:name w:val="批注主题 Char"/>
    <w:link w:val="af9"/>
    <w:qFormat/>
    <w:rPr>
      <w:rFonts w:ascii="Times New Roman" w:eastAsia="宋体" w:hAnsi="Times New Roman" w:cs="Times New Roman"/>
      <w:b/>
      <w:bCs/>
      <w:szCs w:val="20"/>
    </w:rPr>
  </w:style>
  <w:style w:type="character" w:customStyle="1" w:styleId="aff4">
    <w:name w:val="文档结构图 字符"/>
    <w:basedOn w:val="a2"/>
    <w:qFormat/>
    <w:rPr>
      <w:rFonts w:ascii="Microsoft YaHei UI" w:eastAsia="Microsoft YaHei UI"/>
      <w:sz w:val="18"/>
      <w:szCs w:val="18"/>
    </w:rPr>
  </w:style>
  <w:style w:type="character" w:customStyle="1" w:styleId="Char1">
    <w:name w:val="文档结构图 Char"/>
    <w:link w:val="a7"/>
    <w:qFormat/>
    <w:rPr>
      <w:rFonts w:ascii="Times New Roman" w:eastAsia="宋体" w:hAnsi="Times New Roman" w:cs="Times New Roman"/>
      <w:szCs w:val="20"/>
      <w:shd w:val="clear" w:color="auto" w:fill="000080"/>
    </w:rPr>
  </w:style>
  <w:style w:type="character" w:customStyle="1" w:styleId="3Char0">
    <w:name w:val="正文文本 3 Char"/>
    <w:basedOn w:val="a2"/>
    <w:link w:val="30"/>
    <w:qFormat/>
    <w:rPr>
      <w:rFonts w:ascii="宋体" w:eastAsia="宋体" w:hAnsi="宋体" w:cs="Times New Roman"/>
      <w:sz w:val="20"/>
      <w:szCs w:val="20"/>
    </w:rPr>
  </w:style>
  <w:style w:type="character" w:customStyle="1" w:styleId="Char20">
    <w:name w:val="正文文本 Char2"/>
    <w:basedOn w:val="a2"/>
    <w:link w:val="aa"/>
    <w:qFormat/>
    <w:rPr>
      <w:rFonts w:ascii="Times New Roman" w:eastAsia="宋体" w:hAnsi="Times New Roman" w:cs="Times New Roman"/>
      <w:kern w:val="0"/>
      <w:sz w:val="30"/>
      <w:szCs w:val="20"/>
    </w:rPr>
  </w:style>
  <w:style w:type="character" w:customStyle="1" w:styleId="Char21">
    <w:name w:val="正文文本缩进 Char2"/>
    <w:basedOn w:val="a2"/>
    <w:link w:val="ab"/>
    <w:qFormat/>
    <w:rPr>
      <w:rFonts w:ascii="Times New Roman" w:eastAsia="楷体_GB2312" w:hAnsi="Times New Roman" w:cs="Times New Roman"/>
      <w:b/>
      <w:kern w:val="0"/>
      <w:sz w:val="28"/>
      <w:szCs w:val="20"/>
    </w:rPr>
  </w:style>
  <w:style w:type="character" w:customStyle="1" w:styleId="aff5">
    <w:name w:val="纯文本 字符"/>
    <w:basedOn w:val="a2"/>
    <w:qFormat/>
    <w:rPr>
      <w:rFonts w:asciiTheme="minorEastAsia" w:hAnsi="Courier New" w:cs="Courier New"/>
    </w:rPr>
  </w:style>
  <w:style w:type="character" w:customStyle="1" w:styleId="Char3">
    <w:name w:val="纯文本 Char"/>
    <w:link w:val="ae"/>
    <w:qFormat/>
    <w:rPr>
      <w:rFonts w:ascii="宋体" w:eastAsia="宋体" w:hAnsi="Courier New" w:cs="Times New Roman"/>
      <w:sz w:val="24"/>
      <w:szCs w:val="20"/>
    </w:rPr>
  </w:style>
  <w:style w:type="character" w:customStyle="1" w:styleId="Char4">
    <w:name w:val="日期 Char"/>
    <w:basedOn w:val="a2"/>
    <w:link w:val="af"/>
    <w:qFormat/>
    <w:rPr>
      <w:rFonts w:ascii="黑体" w:eastAsia="黑体" w:hAnsi="Times New Roman" w:cs="Times New Roman"/>
      <w:sz w:val="32"/>
      <w:szCs w:val="20"/>
    </w:rPr>
  </w:style>
  <w:style w:type="character" w:customStyle="1" w:styleId="2Char0">
    <w:name w:val="正文文本缩进 2 Char"/>
    <w:basedOn w:val="a2"/>
    <w:link w:val="22"/>
    <w:qFormat/>
    <w:rPr>
      <w:rFonts w:ascii="宋体" w:eastAsia="宋体" w:hAnsi="Times New Roman" w:cs="Times New Roman"/>
      <w:sz w:val="24"/>
      <w:szCs w:val="20"/>
    </w:rPr>
  </w:style>
  <w:style w:type="character" w:customStyle="1" w:styleId="Char5">
    <w:name w:val="批注框文本 Char"/>
    <w:basedOn w:val="a2"/>
    <w:link w:val="af0"/>
    <w:semiHidden/>
    <w:qFormat/>
    <w:rPr>
      <w:rFonts w:ascii="Times New Roman" w:eastAsia="宋体" w:hAnsi="Times New Roman" w:cs="Times New Roman"/>
      <w:sz w:val="18"/>
      <w:szCs w:val="18"/>
    </w:rPr>
  </w:style>
  <w:style w:type="character" w:customStyle="1" w:styleId="aff6">
    <w:name w:val="页脚 字符"/>
    <w:basedOn w:val="a2"/>
    <w:qFormat/>
    <w:rPr>
      <w:sz w:val="18"/>
      <w:szCs w:val="18"/>
    </w:rPr>
  </w:style>
  <w:style w:type="character" w:customStyle="1" w:styleId="Char6">
    <w:name w:val="页脚 Char"/>
    <w:link w:val="af1"/>
    <w:qFormat/>
    <w:rPr>
      <w:rFonts w:ascii="Times New Roman" w:eastAsia="宋体" w:hAnsi="Times New Roman" w:cs="Times New Roman"/>
      <w:sz w:val="18"/>
      <w:szCs w:val="20"/>
      <w:lang w:val="zh-CN"/>
    </w:rPr>
  </w:style>
  <w:style w:type="character" w:customStyle="1" w:styleId="aff7">
    <w:name w:val="页眉 字符"/>
    <w:basedOn w:val="a2"/>
    <w:uiPriority w:val="99"/>
    <w:qFormat/>
    <w:rPr>
      <w:sz w:val="18"/>
      <w:szCs w:val="18"/>
    </w:rPr>
  </w:style>
  <w:style w:type="character" w:customStyle="1" w:styleId="Char7">
    <w:name w:val="页眉 Char"/>
    <w:link w:val="af2"/>
    <w:qFormat/>
    <w:rPr>
      <w:rFonts w:ascii="Times New Roman" w:eastAsia="宋体" w:hAnsi="Times New Roman" w:cs="Times New Roman"/>
      <w:sz w:val="18"/>
      <w:szCs w:val="20"/>
    </w:rPr>
  </w:style>
  <w:style w:type="character" w:customStyle="1" w:styleId="aff8">
    <w:name w:val="脚注文本 字符"/>
    <w:basedOn w:val="a2"/>
    <w:qFormat/>
    <w:rPr>
      <w:sz w:val="18"/>
      <w:szCs w:val="18"/>
    </w:rPr>
  </w:style>
  <w:style w:type="character" w:customStyle="1" w:styleId="Char9">
    <w:name w:val="脚注文本 Char"/>
    <w:link w:val="af6"/>
    <w:uiPriority w:val="99"/>
    <w:qFormat/>
    <w:rPr>
      <w:rFonts w:ascii="Times New Roman" w:eastAsia="宋体" w:hAnsi="Times New Roman" w:cs="Times New Roman"/>
      <w:sz w:val="18"/>
      <w:szCs w:val="20"/>
    </w:rPr>
  </w:style>
  <w:style w:type="character" w:customStyle="1" w:styleId="3Char1">
    <w:name w:val="正文文本缩进 3 Char"/>
    <w:basedOn w:val="a2"/>
    <w:link w:val="33"/>
    <w:qFormat/>
    <w:rPr>
      <w:rFonts w:ascii="宋体" w:eastAsia="宋体" w:hAnsi="Times New Roman" w:cs="Times New Roman"/>
      <w:sz w:val="24"/>
      <w:szCs w:val="20"/>
    </w:rPr>
  </w:style>
  <w:style w:type="character" w:customStyle="1" w:styleId="2Char1">
    <w:name w:val="正文文本 2 Char"/>
    <w:basedOn w:val="a2"/>
    <w:link w:val="24"/>
    <w:qFormat/>
    <w:rPr>
      <w:rFonts w:ascii="宋体" w:eastAsia="宋体" w:hAnsi="宋体" w:cs="Times New Roman"/>
      <w:color w:val="FF0000"/>
      <w:sz w:val="24"/>
      <w:szCs w:val="20"/>
    </w:rPr>
  </w:style>
  <w:style w:type="character" w:customStyle="1" w:styleId="HTML0">
    <w:name w:val="HTML 预设格式 字符"/>
    <w:basedOn w:val="a2"/>
    <w:qFormat/>
    <w:rPr>
      <w:rFonts w:ascii="Courier New" w:hAnsi="Courier New" w:cs="Courier New"/>
      <w:sz w:val="20"/>
      <w:szCs w:val="20"/>
    </w:rPr>
  </w:style>
  <w:style w:type="character" w:customStyle="1" w:styleId="HTMLChar">
    <w:name w:val="HTML 预设格式 Char"/>
    <w:link w:val="HTML"/>
    <w:qFormat/>
    <w:rPr>
      <w:rFonts w:ascii="黑体" w:eastAsia="黑体" w:hAnsi="Courier New" w:cs="Times New Roman"/>
      <w:kern w:val="0"/>
      <w:sz w:val="20"/>
      <w:szCs w:val="20"/>
    </w:rPr>
  </w:style>
  <w:style w:type="character" w:customStyle="1" w:styleId="Chara">
    <w:name w:val="普通(网站) Char"/>
    <w:link w:val="af7"/>
    <w:qFormat/>
    <w:locked/>
    <w:rPr>
      <w:rFonts w:ascii="宋体" w:eastAsia="宋体" w:hAnsi="宋体" w:cs="Times New Roman"/>
      <w:color w:val="0A043D"/>
      <w:kern w:val="0"/>
      <w:sz w:val="24"/>
      <w:szCs w:val="24"/>
    </w:rPr>
  </w:style>
  <w:style w:type="character" w:customStyle="1" w:styleId="aff9">
    <w:name w:val="标题 字符"/>
    <w:basedOn w:val="a2"/>
    <w:qFormat/>
    <w:rPr>
      <w:rFonts w:asciiTheme="majorHAnsi" w:eastAsiaTheme="majorEastAsia" w:hAnsiTheme="majorHAnsi" w:cstheme="majorBidi"/>
      <w:b/>
      <w:bCs/>
      <w:sz w:val="32"/>
      <w:szCs w:val="32"/>
    </w:rPr>
  </w:style>
  <w:style w:type="character" w:customStyle="1" w:styleId="Charb">
    <w:name w:val="标题 Char"/>
    <w:link w:val="af8"/>
    <w:qFormat/>
    <w:rPr>
      <w:rFonts w:ascii="Cambria" w:eastAsia="宋体" w:hAnsi="Cambria" w:cs="Times New Roman"/>
      <w:b/>
      <w:bCs/>
      <w:sz w:val="32"/>
      <w:szCs w:val="32"/>
      <w:lang w:val="zh-CN"/>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contenttext11">
    <w:name w:val="contenttext11"/>
    <w:qFormat/>
    <w:rPr>
      <w:rFonts w:ascii="宋体" w:eastAsia="宋体" w:hAnsi="宋体" w:hint="eastAsia"/>
      <w:spacing w:val="240"/>
      <w:sz w:val="20"/>
      <w:szCs w:val="20"/>
    </w:rPr>
  </w:style>
  <w:style w:type="character" w:customStyle="1" w:styleId="font11">
    <w:name w:val="font11"/>
    <w:basedOn w:val="a2"/>
    <w:qFormat/>
    <w:rPr>
      <w:rFonts w:ascii="Arial Narrow" w:eastAsia="Arial Narrow" w:hAnsi="Arial Narrow" w:cs="Arial Narrow" w:hint="default"/>
      <w:color w:val="000000"/>
      <w:sz w:val="20"/>
      <w:szCs w:val="20"/>
      <w:u w:val="none"/>
    </w:rPr>
  </w:style>
  <w:style w:type="character" w:customStyle="1" w:styleId="font21">
    <w:name w:val="font21"/>
    <w:basedOn w:val="a2"/>
    <w:qFormat/>
    <w:rPr>
      <w:rFonts w:ascii="Arial Narrow" w:eastAsia="Arial Narrow" w:hAnsi="Arial Narrow" w:cs="Arial Narrow" w:hint="default"/>
      <w:color w:val="000000"/>
      <w:sz w:val="20"/>
      <w:szCs w:val="20"/>
      <w:u w:val="none"/>
    </w:rPr>
  </w:style>
  <w:style w:type="paragraph" w:customStyle="1" w:styleId="yl">
    <w:name w:val="yl"/>
    <w:basedOn w:val="a0"/>
    <w:qFormat/>
    <w:pPr>
      <w:ind w:firstLine="540"/>
    </w:pPr>
    <w:rPr>
      <w:rFonts w:ascii="宋体" w:eastAsia="宋体" w:hAnsi="Times New Roman" w:cs="Times New Roman"/>
      <w:sz w:val="24"/>
      <w:szCs w:val="20"/>
    </w:rPr>
  </w:style>
  <w:style w:type="paragraph" w:customStyle="1" w:styleId="14">
    <w:name w:val="纯文本1"/>
    <w:basedOn w:val="a0"/>
    <w:qFormat/>
    <w:pPr>
      <w:adjustRightInd w:val="0"/>
      <w:textAlignment w:val="baseline"/>
    </w:pPr>
    <w:rPr>
      <w:rFonts w:ascii="宋体" w:eastAsia="宋体" w:hAnsi="Courier New" w:cs="Times New Roman"/>
      <w:szCs w:val="20"/>
    </w:rPr>
  </w:style>
  <w:style w:type="paragraph" w:customStyle="1" w:styleId="zw">
    <w:name w:val="zw"/>
    <w:basedOn w:val="a0"/>
    <w:link w:val="zwChar"/>
    <w:qFormat/>
    <w:pPr>
      <w:autoSpaceDE w:val="0"/>
      <w:autoSpaceDN w:val="0"/>
      <w:adjustRightInd w:val="0"/>
      <w:spacing w:before="60" w:after="60" w:line="440" w:lineRule="atLeast"/>
      <w:ind w:firstLine="601"/>
      <w:textAlignment w:val="bottom"/>
    </w:pPr>
    <w:rPr>
      <w:rFonts w:ascii="Arial Narrow" w:eastAsia="昆仑楷体" w:hAnsi="Arial" w:cs="Times New Roman"/>
      <w:kern w:val="0"/>
      <w:sz w:val="28"/>
      <w:szCs w:val="20"/>
    </w:rPr>
  </w:style>
  <w:style w:type="character" w:customStyle="1" w:styleId="zwChar">
    <w:name w:val="zw Char"/>
    <w:link w:val="zw"/>
    <w:qFormat/>
    <w:rPr>
      <w:rFonts w:ascii="Arial Narrow" w:eastAsia="昆仑楷体" w:hAnsi="Arial" w:cs="Times New Roman"/>
      <w:kern w:val="0"/>
      <w:sz w:val="28"/>
      <w:szCs w:val="20"/>
    </w:rPr>
  </w:style>
  <w:style w:type="paragraph" w:customStyle="1" w:styleId="1-21">
    <w:name w:val="中等深浅网格 1 - 强调文字颜色 21"/>
    <w:basedOn w:val="a0"/>
    <w:uiPriority w:val="34"/>
    <w:qFormat/>
    <w:pPr>
      <w:ind w:firstLineChars="200" w:firstLine="420"/>
    </w:pPr>
    <w:rPr>
      <w:rFonts w:ascii="Times New Roman" w:eastAsia="宋体" w:hAnsi="Times New Roman" w:cs="Times New Roman"/>
      <w:szCs w:val="20"/>
    </w:rPr>
  </w:style>
  <w:style w:type="paragraph" w:customStyle="1" w:styleId="ZW1">
    <w:name w:val="ZW1"/>
    <w:basedOn w:val="a0"/>
    <w:qFormat/>
    <w:pPr>
      <w:spacing w:before="120" w:line="360" w:lineRule="auto"/>
      <w:ind w:firstLine="567"/>
    </w:pPr>
    <w:rPr>
      <w:rFonts w:ascii="Arial Narrow" w:eastAsia="宋体" w:hAnsi="Arial Narrow" w:cs="Times New Roman"/>
      <w:sz w:val="24"/>
      <w:szCs w:val="20"/>
    </w:rPr>
  </w:style>
  <w:style w:type="paragraph" w:customStyle="1" w:styleId="CharCharCharCharCharCharChar">
    <w:name w:val="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27">
    <w:name w:val="xl27"/>
    <w:basedOn w:val="a0"/>
    <w:qFormat/>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BT2">
    <w:name w:val="BT2"/>
    <w:basedOn w:val="a0"/>
    <w:qFormat/>
    <w:pPr>
      <w:spacing w:before="120" w:line="360" w:lineRule="auto"/>
      <w:ind w:firstLine="567"/>
    </w:pPr>
    <w:rPr>
      <w:rFonts w:ascii="Arial Narrow" w:eastAsia="宋体" w:hAnsi="Arial Narrow" w:cs="Times New Roman"/>
      <w:b/>
      <w:sz w:val="24"/>
      <w:szCs w:val="20"/>
    </w:rPr>
  </w:style>
  <w:style w:type="paragraph" w:customStyle="1" w:styleId="210">
    <w:name w:val="正文文本缩进 21"/>
    <w:basedOn w:val="a0"/>
    <w:qFormat/>
    <w:pPr>
      <w:adjustRightInd w:val="0"/>
      <w:jc w:val="left"/>
      <w:textAlignment w:val="baseline"/>
    </w:pPr>
    <w:rPr>
      <w:rFonts w:ascii="Times New Roman" w:eastAsia="楷体_GB2312" w:hAnsi="Times New Roman" w:cs="Times New Roman"/>
      <w:sz w:val="30"/>
      <w:szCs w:val="20"/>
    </w:rPr>
  </w:style>
  <w:style w:type="paragraph" w:customStyle="1" w:styleId="affa">
    <w:name w:val="表文"/>
    <w:basedOn w:val="a0"/>
    <w:qFormat/>
    <w:pPr>
      <w:adjustRightInd w:val="0"/>
      <w:snapToGrid w:val="0"/>
      <w:spacing w:before="60" w:line="300" w:lineRule="auto"/>
      <w:jc w:val="center"/>
    </w:pPr>
    <w:rPr>
      <w:rFonts w:ascii="仿宋_GB2312" w:eastAsia="仿宋_GB2312" w:hAnsi="Times New Roman" w:cs="Times New Roman"/>
      <w:szCs w:val="20"/>
    </w:rPr>
  </w:style>
  <w:style w:type="paragraph" w:customStyle="1" w:styleId="42">
    <w:name w:val="新标题4"/>
    <w:basedOn w:val="4"/>
    <w:next w:val="a0"/>
    <w:qFormat/>
    <w:pPr>
      <w:keepNext w:val="0"/>
      <w:keepLines w:val="0"/>
      <w:tabs>
        <w:tab w:val="left" w:pos="720"/>
      </w:tabs>
      <w:adjustRightInd w:val="0"/>
      <w:spacing w:before="40" w:after="40" w:line="240" w:lineRule="atLeast"/>
      <w:jc w:val="left"/>
      <w:textAlignment w:val="baseline"/>
    </w:pPr>
    <w:rPr>
      <w:rFonts w:ascii="Times New Roman" w:hAnsi="Times New Roman"/>
      <w:kern w:val="0"/>
      <w:sz w:val="32"/>
    </w:rPr>
  </w:style>
  <w:style w:type="paragraph" w:customStyle="1" w:styleId="font5">
    <w:name w:val="font5"/>
    <w:basedOn w:val="a0"/>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e">
    <w:name w:val="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5">
    <w:name w:val="列出段落1"/>
    <w:basedOn w:val="a0"/>
    <w:unhideWhenUsed/>
    <w:qFormat/>
    <w:pPr>
      <w:ind w:firstLineChars="200" w:firstLine="420"/>
    </w:pPr>
    <w:rPr>
      <w:rFonts w:ascii="Calibri" w:eastAsia="宋体" w:hAnsi="Calibri" w:cs="Times New Roman"/>
    </w:rPr>
  </w:style>
  <w:style w:type="paragraph" w:customStyle="1" w:styleId="72">
    <w:name w:val="样式7"/>
    <w:basedOn w:val="a0"/>
    <w:qFormat/>
    <w:pPr>
      <w:spacing w:line="360" w:lineRule="auto"/>
      <w:ind w:firstLine="567"/>
    </w:pPr>
    <w:rPr>
      <w:rFonts w:ascii="仿宋_GB2312" w:eastAsia="仿宋_GB2312" w:hAnsi="Times New Roman" w:cs="Times New Roman"/>
      <w:sz w:val="28"/>
      <w:szCs w:val="20"/>
    </w:rPr>
  </w:style>
  <w:style w:type="paragraph" w:customStyle="1" w:styleId="ParaCharCharCharCharCharCharChar">
    <w:name w:val="默认段落字体 Para Char Char Char Char Char Char Char"/>
    <w:basedOn w:val="a0"/>
    <w:qFormat/>
    <w:rPr>
      <w:rFonts w:ascii="Tahoma" w:eastAsia="宋体" w:hAnsi="Tahoma" w:cs="Times New Roman"/>
      <w:sz w:val="24"/>
      <w:szCs w:val="20"/>
    </w:rPr>
  </w:style>
  <w:style w:type="paragraph" w:customStyle="1" w:styleId="xl36">
    <w:name w:val="xl36"/>
    <w:basedOn w:val="a0"/>
    <w:qFormat/>
    <w:pPr>
      <w:widowControl/>
      <w:pBdr>
        <w:bottom w:val="single" w:sz="4" w:space="0" w:color="auto"/>
      </w:pBdr>
      <w:spacing w:before="100" w:beforeAutospacing="1" w:after="100" w:afterAutospacing="1"/>
      <w:jc w:val="right"/>
    </w:pPr>
    <w:rPr>
      <w:rFonts w:ascii="Arial Unicode MS" w:eastAsia="宋体" w:hAnsi="Arial Unicode MS" w:cs="Times New Roman"/>
      <w:kern w:val="0"/>
      <w:sz w:val="20"/>
      <w:szCs w:val="20"/>
    </w:rPr>
  </w:style>
  <w:style w:type="paragraph" w:customStyle="1" w:styleId="16">
    <w:name w:val="说明1"/>
    <w:basedOn w:val="a0"/>
    <w:qFormat/>
    <w:pPr>
      <w:suppressLineNumbers/>
      <w:tabs>
        <w:tab w:val="left" w:pos="425"/>
      </w:tabs>
      <w:spacing w:line="440" w:lineRule="exact"/>
      <w:ind w:left="851" w:hanging="284"/>
    </w:pPr>
    <w:rPr>
      <w:rFonts w:ascii="Times New Roman" w:eastAsia="宋体" w:hAnsi="Times New Roman" w:cs="Times New Roman"/>
      <w:kern w:val="21"/>
      <w:sz w:val="28"/>
      <w:szCs w:val="20"/>
    </w:rPr>
  </w:style>
  <w:style w:type="paragraph" w:customStyle="1" w:styleId="aa0">
    <w:name w:val="aa"/>
    <w:basedOn w:val="a0"/>
    <w:qFormat/>
    <w:pPr>
      <w:adjustRightInd w:val="0"/>
      <w:spacing w:before="120" w:after="120" w:line="358" w:lineRule="auto"/>
      <w:ind w:firstLine="425"/>
      <w:jc w:val="center"/>
      <w:textAlignment w:val="baseline"/>
    </w:pPr>
    <w:rPr>
      <w:rFonts w:ascii="大黑体" w:eastAsia="大黑体" w:hAnsi="Arial Narrow" w:cs="Times New Roman"/>
      <w:b/>
      <w:kern w:val="0"/>
      <w:sz w:val="36"/>
      <w:szCs w:val="20"/>
    </w:rPr>
  </w:style>
  <w:style w:type="paragraph" w:customStyle="1" w:styleId="BodySingle">
    <w:name w:val="Body Single"/>
    <w:qFormat/>
    <w:pPr>
      <w:widowControl w:val="0"/>
      <w:tabs>
        <w:tab w:val="left" w:pos="705"/>
        <w:tab w:val="left" w:pos="1440"/>
        <w:tab w:val="left" w:pos="2304"/>
        <w:tab w:val="right" w:pos="10425"/>
      </w:tabs>
      <w:autoSpaceDE w:val="0"/>
      <w:autoSpaceDN w:val="0"/>
      <w:adjustRightInd w:val="0"/>
      <w:jc w:val="both"/>
      <w:textAlignment w:val="baseline"/>
    </w:pPr>
    <w:rPr>
      <w:color w:val="000000"/>
      <w:sz w:val="24"/>
      <w:lang w:val="en-GB"/>
    </w:rPr>
  </w:style>
  <w:style w:type="paragraph" w:customStyle="1" w:styleId="ZW2">
    <w:name w:val="ZW2"/>
    <w:basedOn w:val="a0"/>
    <w:qFormat/>
    <w:pPr>
      <w:spacing w:before="120" w:line="360" w:lineRule="auto"/>
      <w:ind w:firstLine="680"/>
    </w:pPr>
    <w:rPr>
      <w:rFonts w:ascii="Arial Narrow" w:eastAsia="宋体" w:hAnsi="Arial Narrow" w:cs="Times New Roman"/>
      <w:sz w:val="24"/>
      <w:szCs w:val="20"/>
    </w:rPr>
  </w:style>
  <w:style w:type="paragraph" w:customStyle="1" w:styleId="font0">
    <w:name w:val="font0"/>
    <w:basedOn w:val="a0"/>
    <w:qFormat/>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宋体" w:cs="Times New Roman" w:hint="eastAsia"/>
      <w:color w:val="000000"/>
      <w:kern w:val="0"/>
      <w:szCs w:val="21"/>
    </w:rPr>
  </w:style>
  <w:style w:type="paragraph" w:customStyle="1" w:styleId="XBT">
    <w:name w:val="XBT"/>
    <w:basedOn w:val="a0"/>
    <w:qFormat/>
    <w:pPr>
      <w:adjustRightInd w:val="0"/>
      <w:spacing w:before="360" w:after="120" w:line="440" w:lineRule="atLeast"/>
      <w:ind w:firstLine="425"/>
      <w:textAlignment w:val="baseline"/>
    </w:pPr>
    <w:rPr>
      <w:rFonts w:ascii="Arial Narrow" w:eastAsia="黑体" w:hAnsi="Arial Narrow" w:cs="Times New Roman"/>
      <w:b/>
      <w:kern w:val="0"/>
      <w:sz w:val="30"/>
      <w:szCs w:val="20"/>
    </w:rPr>
  </w:style>
  <w:style w:type="paragraph" w:customStyle="1" w:styleId="ZW0">
    <w:name w:val="ZW"/>
    <w:basedOn w:val="a0"/>
    <w:qFormat/>
    <w:pPr>
      <w:adjustRightInd w:val="0"/>
      <w:spacing w:before="120" w:after="120" w:line="440" w:lineRule="atLeast"/>
      <w:ind w:firstLine="601"/>
      <w:textAlignment w:val="baseline"/>
    </w:pPr>
    <w:rPr>
      <w:rFonts w:ascii="Arial Narrow" w:eastAsia="昆仑楷体" w:hAnsi="Arial Narrow" w:cs="Times New Roman"/>
      <w:kern w:val="0"/>
      <w:sz w:val="28"/>
      <w:szCs w:val="20"/>
    </w:rPr>
  </w:style>
  <w:style w:type="paragraph" w:customStyle="1" w:styleId="cc">
    <w:name w:val="cc"/>
    <w:basedOn w:val="XBT"/>
    <w:qFormat/>
    <w:pPr>
      <w:spacing w:before="120"/>
    </w:pPr>
    <w:rPr>
      <w:rFonts w:ascii="大黑体" w:eastAsia="大黑体"/>
      <w:sz w:val="24"/>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CharCharCharCharCharCharCharCharCharCharCharCharCharCharCharCharCharCharChar">
    <w:name w:val="Char Char Char Char Char Char Char Char Char Char Char Char Char Char Char Char Char Char Char"/>
    <w:basedOn w:val="a0"/>
    <w:qFormat/>
    <w:rPr>
      <w:rFonts w:ascii="Tahoma" w:eastAsia="宋体" w:hAnsi="Tahoma" w:cs="Times New Roman"/>
      <w:sz w:val="24"/>
      <w:szCs w:val="20"/>
    </w:rPr>
  </w:style>
  <w:style w:type="character" w:customStyle="1" w:styleId="17">
    <w:name w:val="页眉 字符1"/>
    <w:qFormat/>
    <w:rPr>
      <w:rFonts w:eastAsia="宋体"/>
      <w:kern w:val="2"/>
      <w:sz w:val="18"/>
      <w:lang w:val="en-US" w:eastAsia="zh-CN" w:bidi="ar-SA"/>
    </w:rPr>
  </w:style>
  <w:style w:type="character" w:customStyle="1" w:styleId="affb">
    <w:name w:val="正文缩进 字符"/>
    <w:qFormat/>
    <w:rPr>
      <w:kern w:val="2"/>
      <w:sz w:val="24"/>
    </w:rPr>
  </w:style>
  <w:style w:type="character" w:customStyle="1" w:styleId="18">
    <w:name w:val="批注文字 字符1"/>
    <w:semiHidden/>
    <w:qFormat/>
    <w:rPr>
      <w:rFonts w:eastAsia="宋体"/>
      <w:kern w:val="2"/>
      <w:sz w:val="24"/>
      <w:lang w:val="en-US" w:eastAsia="zh-CN" w:bidi="ar-SA"/>
    </w:rPr>
  </w:style>
  <w:style w:type="character" w:customStyle="1" w:styleId="19">
    <w:name w:val="页脚 字符1"/>
    <w:uiPriority w:val="99"/>
    <w:qFormat/>
    <w:rPr>
      <w:kern w:val="2"/>
      <w:sz w:val="18"/>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31">
    <w:name w:val="font31"/>
    <w:basedOn w:val="a2"/>
    <w:qFormat/>
    <w:rPr>
      <w:rFonts w:ascii="Times New Roman" w:hAnsi="Times New Roman" w:cs="Times New Roman" w:hint="default"/>
      <w:color w:val="000000"/>
      <w:sz w:val="20"/>
      <w:szCs w:val="20"/>
      <w:u w:val="none"/>
    </w:rPr>
  </w:style>
  <w:style w:type="paragraph" w:styleId="affc">
    <w:name w:val="List Paragraph"/>
    <w:basedOn w:val="a0"/>
    <w:uiPriority w:val="99"/>
    <w:qFormat/>
    <w:pPr>
      <w:ind w:firstLineChars="200" w:firstLine="420"/>
    </w:pPr>
    <w:rPr>
      <w:rFonts w:ascii="Times New Roman" w:eastAsia="宋体" w:hAnsi="Times New Roman" w:cs="Times New Roman"/>
      <w:szCs w:val="20"/>
    </w:rPr>
  </w:style>
  <w:style w:type="character" w:customStyle="1" w:styleId="Char10">
    <w:name w:val="正文文本 Char1"/>
    <w:qFormat/>
    <w:rPr>
      <w:sz w:val="30"/>
    </w:rPr>
  </w:style>
  <w:style w:type="character" w:customStyle="1" w:styleId="dashChar">
    <w:name w:val="dash Char"/>
    <w:qFormat/>
    <w:rPr>
      <w:rFonts w:ascii="仿宋_GB2312" w:eastAsia="仿宋_GB2312" w:hAnsi="Times New Roman" w:cs="Times New Roman"/>
      <w:b/>
      <w:kern w:val="0"/>
      <w:sz w:val="28"/>
      <w:szCs w:val="20"/>
    </w:rPr>
  </w:style>
  <w:style w:type="character" w:customStyle="1" w:styleId="font61">
    <w:name w:val="font61"/>
    <w:basedOn w:val="a2"/>
    <w:qFormat/>
    <w:rPr>
      <w:rFonts w:ascii="Times New Roman" w:hAnsi="Times New Roman" w:cs="Times New Roman" w:hint="default"/>
      <w:b/>
      <w:color w:val="000000"/>
      <w:sz w:val="18"/>
      <w:szCs w:val="18"/>
      <w:u w:val="none"/>
    </w:rPr>
  </w:style>
  <w:style w:type="character" w:customStyle="1" w:styleId="content1">
    <w:name w:val="content1"/>
    <w:qFormat/>
    <w:rPr>
      <w:color w:val="000000"/>
      <w:sz w:val="21"/>
      <w:szCs w:val="21"/>
    </w:rPr>
  </w:style>
  <w:style w:type="character" w:customStyle="1" w:styleId="larger">
    <w:name w:val="larger"/>
    <w:qFormat/>
  </w:style>
  <w:style w:type="character" w:customStyle="1" w:styleId="CharChar25">
    <w:name w:val="Char Char25"/>
    <w:qFormat/>
    <w:rPr>
      <w:rFonts w:ascii="宋体"/>
      <w:kern w:val="2"/>
      <w:sz w:val="24"/>
    </w:rPr>
  </w:style>
  <w:style w:type="character" w:customStyle="1" w:styleId="CharChar131">
    <w:name w:val="Char Char131"/>
    <w:qFormat/>
    <w:rPr>
      <w:rFonts w:ascii="黑体" w:eastAsia="黑体" w:hAnsi="Times New Roman" w:cs="Times New Roman"/>
      <w:kern w:val="0"/>
      <w:szCs w:val="20"/>
    </w:rPr>
  </w:style>
  <w:style w:type="character" w:customStyle="1" w:styleId="CharChar19">
    <w:name w:val="Char Char19"/>
    <w:qFormat/>
    <w:rPr>
      <w:rFonts w:ascii="宋体" w:eastAsia="宋体" w:hAnsi="Times New Roman" w:cs="Times New Roman"/>
      <w:b/>
      <w:kern w:val="44"/>
      <w:sz w:val="44"/>
      <w:szCs w:val="20"/>
    </w:rPr>
  </w:style>
  <w:style w:type="character" w:customStyle="1" w:styleId="paramtd12">
    <w:name w:val="param_td12"/>
    <w:qFormat/>
  </w:style>
  <w:style w:type="character" w:customStyle="1" w:styleId="da1">
    <w:name w:val="da1"/>
    <w:qFormat/>
    <w:rPr>
      <w:rFonts w:hint="default"/>
      <w:color w:val="000000"/>
      <w:sz w:val="21"/>
      <w:szCs w:val="21"/>
      <w:u w:val="none"/>
    </w:rPr>
  </w:style>
  <w:style w:type="character" w:customStyle="1" w:styleId="CharChar9">
    <w:name w:val="Char Char9"/>
    <w:qFormat/>
    <w:rPr>
      <w:rFonts w:ascii="仿宋_GB2312" w:eastAsia="仿宋_GB2312" w:hAnsi="Times New Roman" w:cs="Times New Roman"/>
      <w:sz w:val="28"/>
      <w:szCs w:val="20"/>
    </w:rPr>
  </w:style>
  <w:style w:type="character" w:customStyle="1" w:styleId="dsfd">
    <w:name w:val="dsfd"/>
    <w:qFormat/>
  </w:style>
  <w:style w:type="character" w:customStyle="1" w:styleId="Level1-1Char">
    <w:name w:val="Level 1 - 1 Char"/>
    <w:qFormat/>
    <w:rPr>
      <w:rFonts w:ascii="Arial" w:eastAsia="仿宋_GB2312"/>
      <w:b/>
      <w:spacing w:val="-2"/>
      <w:kern w:val="18"/>
      <w:sz w:val="32"/>
      <w:szCs w:val="24"/>
    </w:rPr>
  </w:style>
  <w:style w:type="character" w:customStyle="1" w:styleId="CharChar191">
    <w:name w:val="Char Char191"/>
    <w:qFormat/>
    <w:rPr>
      <w:rFonts w:ascii="宋体" w:eastAsia="宋体" w:hAnsi="Times New Roman" w:cs="Times New Roman"/>
      <w:b/>
      <w:kern w:val="44"/>
      <w:sz w:val="44"/>
      <w:szCs w:val="20"/>
    </w:rPr>
  </w:style>
  <w:style w:type="character" w:customStyle="1" w:styleId="CharChar8">
    <w:name w:val="Char Char8"/>
    <w:qFormat/>
    <w:rPr>
      <w:rFonts w:ascii="宋体" w:eastAsia="宋体" w:hAnsi="Times New Roman" w:cs="Times New Roman"/>
      <w:color w:val="000000"/>
      <w:sz w:val="28"/>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SectionHeadingCharChar">
    <w:name w:val="Section Heading Char Char"/>
    <w:qFormat/>
    <w:rPr>
      <w:rFonts w:ascii="仿宋_GB2312" w:eastAsia="黑体" w:hAnsi="宋体"/>
      <w:b/>
      <w:kern w:val="44"/>
      <w:sz w:val="30"/>
    </w:rPr>
  </w:style>
  <w:style w:type="character" w:customStyle="1" w:styleId="2CharChar1">
    <w:name w:val="正文文字缩进 2 Char Char1"/>
    <w:qFormat/>
    <w:rPr>
      <w:rFonts w:ascii="楷体_GB2312" w:eastAsia="楷体_GB2312"/>
      <w:kern w:val="2"/>
      <w:sz w:val="24"/>
    </w:rPr>
  </w:style>
  <w:style w:type="character" w:customStyle="1" w:styleId="CharChar171">
    <w:name w:val="Char Char171"/>
    <w:qFormat/>
    <w:rPr>
      <w:rFonts w:ascii="黑体" w:eastAsia="黑体" w:hAnsi="Times New Roman" w:cs="Times New Roman"/>
      <w:b/>
      <w:spacing w:val="-2"/>
      <w:kern w:val="18"/>
      <w:sz w:val="28"/>
      <w:szCs w:val="20"/>
    </w:rPr>
  </w:style>
  <w:style w:type="character" w:customStyle="1" w:styleId="CharChar231">
    <w:name w:val="Char Char231"/>
    <w:qFormat/>
    <w:rPr>
      <w:rFonts w:ascii="宋体"/>
      <w:kern w:val="2"/>
      <w:sz w:val="21"/>
      <w:shd w:val="clear" w:color="auto" w:fill="000080"/>
    </w:rPr>
  </w:style>
  <w:style w:type="character" w:customStyle="1" w:styleId="mapbarcityselectcontainer1">
    <w:name w:val="mapbar_city_select_container1"/>
    <w:qFormat/>
  </w:style>
  <w:style w:type="character" w:customStyle="1" w:styleId="aa1">
    <w:name w:val="aa1"/>
    <w:qFormat/>
    <w:rPr>
      <w:sz w:val="18"/>
      <w:szCs w:val="18"/>
    </w:rPr>
  </w:style>
  <w:style w:type="character" w:customStyle="1" w:styleId="style11">
    <w:name w:val="style11"/>
    <w:qFormat/>
    <w:rPr>
      <w:color w:val="000000"/>
    </w:rPr>
  </w:style>
  <w:style w:type="character" w:customStyle="1" w:styleId="da">
    <w:name w:val="da"/>
    <w:qFormat/>
  </w:style>
  <w:style w:type="character" w:customStyle="1" w:styleId="CharChar12">
    <w:name w:val="Char Char12"/>
    <w:qFormat/>
    <w:rPr>
      <w:rFonts w:ascii="宋体" w:eastAsia="宋体" w:hAnsi="Times New Roman" w:cs="Times New Roman"/>
      <w:i/>
      <w:kern w:val="0"/>
      <w:szCs w:val="20"/>
    </w:rPr>
  </w:style>
  <w:style w:type="character" w:customStyle="1" w:styleId="CharChar251">
    <w:name w:val="Char Char251"/>
    <w:qFormat/>
    <w:rPr>
      <w:rFonts w:ascii="宋体"/>
      <w:kern w:val="2"/>
      <w:sz w:val="24"/>
    </w:rPr>
  </w:style>
  <w:style w:type="character" w:customStyle="1" w:styleId="footeroddCharChar1">
    <w:name w:val="footer odd Char Char1"/>
    <w:qFormat/>
    <w:rPr>
      <w:rFonts w:eastAsia="宋体"/>
      <w:sz w:val="18"/>
      <w:lang w:val="en-US" w:eastAsia="zh-CN" w:bidi="ar-SA"/>
    </w:rPr>
  </w:style>
  <w:style w:type="character" w:customStyle="1" w:styleId="3CharChar">
    <w:name w:val="正文文字缩进 3 Char Char"/>
    <w:qFormat/>
    <w:rPr>
      <w:rFonts w:ascii="仿宋_GB2312" w:eastAsia="仿宋_GB2312"/>
      <w:sz w:val="28"/>
    </w:rPr>
  </w:style>
  <w:style w:type="character" w:customStyle="1" w:styleId="a10">
    <w:name w:val="a1"/>
    <w:qFormat/>
    <w:rPr>
      <w:rFonts w:hint="default"/>
      <w:color w:val="000000"/>
      <w:sz w:val="21"/>
      <w:szCs w:val="21"/>
    </w:rPr>
  </w:style>
  <w:style w:type="character" w:customStyle="1" w:styleId="CharChar221">
    <w:name w:val="Char Char221"/>
    <w:qFormat/>
    <w:rPr>
      <w:rFonts w:ascii="宋体"/>
      <w:b/>
      <w:bCs/>
      <w:kern w:val="2"/>
      <w:sz w:val="21"/>
    </w:rPr>
  </w:style>
  <w:style w:type="character" w:customStyle="1" w:styleId="text12px">
    <w:name w:val="text12px"/>
    <w:qFormat/>
  </w:style>
  <w:style w:type="character" w:customStyle="1" w:styleId="nolink1">
    <w:name w:val="nolink1"/>
    <w:qFormat/>
  </w:style>
  <w:style w:type="character" w:customStyle="1" w:styleId="Charf">
    <w:name w:val="无间隔 Char"/>
    <w:link w:val="1a"/>
    <w:uiPriority w:val="1"/>
    <w:qFormat/>
    <w:rPr>
      <w:rFonts w:ascii="Calibri" w:hAnsi="Calibri"/>
      <w:sz w:val="22"/>
    </w:rPr>
  </w:style>
  <w:style w:type="paragraph" w:customStyle="1" w:styleId="1a">
    <w:name w:val="无间隔1"/>
    <w:link w:val="Charf"/>
    <w:uiPriority w:val="1"/>
    <w:qFormat/>
    <w:rPr>
      <w:rFonts w:ascii="Calibri" w:eastAsiaTheme="minorEastAsia" w:hAnsi="Calibri" w:cstheme="minorBidi"/>
      <w:kern w:val="2"/>
      <w:sz w:val="22"/>
      <w:szCs w:val="22"/>
    </w:rPr>
  </w:style>
  <w:style w:type="character" w:customStyle="1" w:styleId="CharChar23">
    <w:name w:val="Char Char23"/>
    <w:qFormat/>
    <w:rPr>
      <w:rFonts w:ascii="宋体"/>
      <w:kern w:val="2"/>
      <w:sz w:val="21"/>
      <w:shd w:val="clear" w:color="auto" w:fill="000080"/>
    </w:rPr>
  </w:style>
  <w:style w:type="character" w:customStyle="1" w:styleId="LegalLevel11CharChar">
    <w:name w:val="Legal Level 1.1. Char Char"/>
    <w:qFormat/>
    <w:rPr>
      <w:rFonts w:ascii="仿宋_GB2312" w:eastAsia="仿宋_GB2312"/>
      <w:b/>
      <w:sz w:val="32"/>
    </w:rPr>
  </w:style>
  <w:style w:type="character" w:customStyle="1" w:styleId="CharChar151">
    <w:name w:val="Char Char151"/>
    <w:qFormat/>
    <w:rPr>
      <w:rFonts w:ascii="仿宋_GB2312" w:eastAsia="仿宋_GB2312" w:hAnsi="Times New Roman" w:cs="Times New Roman"/>
      <w:b/>
      <w:kern w:val="0"/>
      <w:sz w:val="32"/>
      <w:szCs w:val="20"/>
    </w:rPr>
  </w:style>
  <w:style w:type="character" w:customStyle="1" w:styleId="2CharChar">
    <w:name w:val="正文文字 2 Char Char"/>
    <w:qFormat/>
    <w:rPr>
      <w:kern w:val="2"/>
      <w:sz w:val="21"/>
    </w:rPr>
  </w:style>
  <w:style w:type="character" w:customStyle="1" w:styleId="ht1">
    <w:name w:val="ht1"/>
    <w:qFormat/>
    <w:rPr>
      <w:rFonts w:ascii="黑体" w:eastAsia="黑体"/>
      <w:b/>
      <w:bCs/>
    </w:rPr>
  </w:style>
  <w:style w:type="character" w:customStyle="1" w:styleId="3Char10">
    <w:name w:val="正文文字缩进 3 Char1"/>
    <w:qFormat/>
    <w:rPr>
      <w:rFonts w:ascii="仿宋_GB2312" w:eastAsia="仿宋_GB2312"/>
      <w:sz w:val="28"/>
      <w:lang w:val="en-US" w:eastAsia="zh-CN" w:bidi="ar-SA"/>
    </w:rPr>
  </w:style>
  <w:style w:type="character" w:customStyle="1" w:styleId="Charf0">
    <w:name w:val="正文文本 Char"/>
    <w:qFormat/>
    <w:rPr>
      <w:rFonts w:ascii="幼圆" w:eastAsia="幼圆"/>
      <w:kern w:val="2"/>
      <w:sz w:val="15"/>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0"/>
    <w:next w:val="a0"/>
    <w:link w:val="z-Char"/>
    <w:qFormat/>
    <w:pPr>
      <w:widowControl/>
      <w:pBdr>
        <w:top w:val="single" w:sz="6" w:space="1" w:color="auto"/>
      </w:pBdr>
      <w:jc w:val="center"/>
    </w:pPr>
    <w:rPr>
      <w:rFonts w:ascii="Arial" w:hAnsi="Arial"/>
      <w:vanish/>
      <w:sz w:val="16"/>
      <w:szCs w:val="16"/>
    </w:rPr>
  </w:style>
  <w:style w:type="character" w:customStyle="1" w:styleId="Char8">
    <w:name w:val="签名 Char"/>
    <w:link w:val="af3"/>
    <w:qFormat/>
    <w:rPr>
      <w:szCs w:val="24"/>
    </w:rPr>
  </w:style>
  <w:style w:type="character" w:customStyle="1" w:styleId="1b">
    <w:name w:val="签名 字符1"/>
    <w:basedOn w:val="a2"/>
    <w:uiPriority w:val="99"/>
    <w:semiHidden/>
    <w:qFormat/>
  </w:style>
  <w:style w:type="character" w:customStyle="1" w:styleId="style4">
    <w:name w:val="style4"/>
    <w:qFormat/>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Char11">
    <w:name w:val="正文文本缩进 Char1"/>
    <w:qFormat/>
    <w:rPr>
      <w:rFonts w:eastAsia="楷体_GB2312"/>
      <w:b/>
      <w:sz w:val="28"/>
    </w:rPr>
  </w:style>
  <w:style w:type="character" w:customStyle="1" w:styleId="BodytextChar">
    <w:name w:val="!Bodytext Char"/>
    <w:link w:val="Bodytext"/>
    <w:qFormat/>
    <w:rPr>
      <w:rFonts w:ascii="宋体"/>
      <w:sz w:val="22"/>
    </w:rPr>
  </w:style>
  <w:style w:type="paragraph" w:customStyle="1" w:styleId="Bodytext">
    <w:name w:val="!Bodytext"/>
    <w:basedOn w:val="a0"/>
    <w:link w:val="BodytextChar"/>
    <w:qFormat/>
    <w:pPr>
      <w:widowControl/>
      <w:overflowPunct w:val="0"/>
      <w:autoSpaceDE w:val="0"/>
      <w:autoSpaceDN w:val="0"/>
      <w:adjustRightInd w:val="0"/>
      <w:spacing w:after="220"/>
      <w:textAlignment w:val="baseline"/>
    </w:pPr>
    <w:rPr>
      <w:rFonts w:ascii="宋体"/>
      <w:sz w:val="22"/>
    </w:rPr>
  </w:style>
  <w:style w:type="character" w:customStyle="1" w:styleId="CharChar261">
    <w:name w:val="Char Char261"/>
    <w:qFormat/>
    <w:rPr>
      <w:sz w:val="18"/>
    </w:rPr>
  </w:style>
  <w:style w:type="character" w:customStyle="1" w:styleId="CharChar16">
    <w:name w:val="Char Char16"/>
    <w:qFormat/>
    <w:rPr>
      <w:rFonts w:ascii="黑体" w:eastAsia="黑体" w:hAnsi="Times New Roman" w:cs="Times New Roman"/>
      <w:b/>
      <w:spacing w:val="-2"/>
      <w:kern w:val="18"/>
      <w:sz w:val="24"/>
      <w:szCs w:val="20"/>
    </w:rPr>
  </w:style>
  <w:style w:type="character" w:customStyle="1" w:styleId="2Char2">
    <w:name w:val="正文首行缩进 2 Char"/>
    <w:link w:val="27"/>
    <w:qFormat/>
    <w:rPr>
      <w:rFonts w:eastAsia="楷体_GB2312"/>
    </w:rPr>
  </w:style>
  <w:style w:type="character" w:customStyle="1" w:styleId="211">
    <w:name w:val="正文首行缩进 2 字符1"/>
    <w:basedOn w:val="Char21"/>
    <w:uiPriority w:val="99"/>
    <w:semiHidden/>
    <w:qFormat/>
    <w:rPr>
      <w:rFonts w:ascii="Times New Roman" w:eastAsia="楷体_GB2312" w:hAnsi="Times New Roman" w:cs="Times New Roman"/>
      <w:b/>
      <w:kern w:val="0"/>
      <w:sz w:val="28"/>
      <w:szCs w:val="20"/>
    </w:rPr>
  </w:style>
  <w:style w:type="character" w:customStyle="1" w:styleId="CharChar22">
    <w:name w:val="Char Char22"/>
    <w:qFormat/>
    <w:rPr>
      <w:rFonts w:ascii="宋体"/>
      <w:b/>
      <w:bCs/>
      <w:kern w:val="2"/>
      <w:sz w:val="21"/>
    </w:rPr>
  </w:style>
  <w:style w:type="character" w:customStyle="1" w:styleId="CharChar13">
    <w:name w:val="Char Char13"/>
    <w:qFormat/>
    <w:rPr>
      <w:rFonts w:ascii="黑体" w:eastAsia="黑体" w:hAnsi="Times New Roman" w:cs="Times New Roman"/>
      <w:kern w:val="0"/>
      <w:szCs w:val="20"/>
    </w:rPr>
  </w:style>
  <w:style w:type="character" w:customStyle="1" w:styleId="lineheigh201">
    <w:name w:val="lineheigh201"/>
    <w:qFormat/>
  </w:style>
  <w:style w:type="character" w:customStyle="1" w:styleId="2a">
    <w:name w:val="中等深浅网格 2字符"/>
    <w:link w:val="212"/>
    <w:uiPriority w:val="1"/>
    <w:qFormat/>
    <w:rPr>
      <w:rFonts w:ascii="Calibri" w:hAnsi="Calibri"/>
      <w:sz w:val="22"/>
    </w:rPr>
  </w:style>
  <w:style w:type="paragraph" w:customStyle="1" w:styleId="212">
    <w:name w:val="中等深浅网格 21"/>
    <w:link w:val="2a"/>
    <w:uiPriority w:val="1"/>
    <w:qFormat/>
    <w:rPr>
      <w:rFonts w:ascii="Calibri" w:eastAsiaTheme="minorEastAsia" w:hAnsi="Calibri" w:cstheme="minorBidi"/>
      <w:kern w:val="2"/>
      <w:sz w:val="22"/>
      <w:szCs w:val="22"/>
    </w:rPr>
  </w:style>
  <w:style w:type="character" w:customStyle="1" w:styleId="Char0">
    <w:name w:val="列表项目符号 Char"/>
    <w:link w:val="a6"/>
    <w:qFormat/>
    <w:rPr>
      <w:szCs w:val="24"/>
    </w:rPr>
  </w:style>
  <w:style w:type="character" w:customStyle="1" w:styleId="Char30">
    <w:name w:val="Char3"/>
    <w:qFormat/>
    <w:rPr>
      <w:rFonts w:ascii="宋体" w:eastAsia="宋体" w:hAnsi="宋体" w:cs="宋体"/>
      <w:sz w:val="24"/>
      <w:szCs w:val="24"/>
      <w:lang w:val="en-US" w:eastAsia="zh-CN" w:bidi="ar-SA"/>
    </w:rPr>
  </w:style>
  <w:style w:type="character" w:customStyle="1" w:styleId="style17">
    <w:name w:val="style17"/>
    <w:qFormat/>
  </w:style>
  <w:style w:type="character" w:customStyle="1" w:styleId="CharChar141">
    <w:name w:val="Char Char141"/>
    <w:qFormat/>
    <w:rPr>
      <w:rFonts w:ascii="黑体" w:eastAsia="黑体" w:hAnsi="Times New Roman" w:cs="Times New Roman"/>
      <w:kern w:val="0"/>
      <w:sz w:val="32"/>
      <w:szCs w:val="20"/>
    </w:rPr>
  </w:style>
  <w:style w:type="character" w:customStyle="1" w:styleId="Chard">
    <w:name w:val="正文首行缩进 Char"/>
    <w:link w:val="afa"/>
    <w:qFormat/>
    <w:rPr>
      <w:rFonts w:ascii="仿宋_GB2312" w:eastAsia="仿宋_GB2312"/>
      <w:sz w:val="28"/>
    </w:rPr>
  </w:style>
  <w:style w:type="character" w:customStyle="1" w:styleId="1c">
    <w:name w:val="正文首行缩进 字符1"/>
    <w:basedOn w:val="Char20"/>
    <w:uiPriority w:val="99"/>
    <w:semiHidden/>
    <w:qFormat/>
    <w:rPr>
      <w:rFonts w:ascii="Times New Roman" w:eastAsia="宋体" w:hAnsi="Times New Roman" w:cs="Times New Roman"/>
      <w:kern w:val="0"/>
      <w:sz w:val="30"/>
      <w:szCs w:val="20"/>
    </w:rPr>
  </w:style>
  <w:style w:type="character" w:customStyle="1" w:styleId="CharChar121">
    <w:name w:val="Char Char121"/>
    <w:qFormat/>
    <w:rPr>
      <w:rFonts w:ascii="宋体" w:eastAsia="宋体" w:hAnsi="Times New Roman" w:cs="Times New Roman"/>
      <w:i/>
      <w:kern w:val="0"/>
      <w:szCs w:val="20"/>
    </w:rPr>
  </w:style>
  <w:style w:type="character" w:customStyle="1" w:styleId="3CharChar1">
    <w:name w:val="正文文字缩进 3 Char Char1"/>
    <w:qFormat/>
    <w:rPr>
      <w:rFonts w:ascii="仿宋_GB2312" w:eastAsia="仿宋_GB2312"/>
      <w:sz w:val="28"/>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0"/>
    <w:next w:val="a0"/>
    <w:link w:val="z-Char0"/>
    <w:qFormat/>
    <w:pPr>
      <w:widowControl/>
      <w:pBdr>
        <w:bottom w:val="single" w:sz="6" w:space="1" w:color="auto"/>
      </w:pBdr>
      <w:jc w:val="center"/>
    </w:pPr>
    <w:rPr>
      <w:rFonts w:ascii="Arial" w:hAnsi="Arial" w:cs="Arial"/>
      <w:vanish/>
      <w:sz w:val="16"/>
      <w:szCs w:val="16"/>
    </w:rPr>
  </w:style>
  <w:style w:type="character" w:customStyle="1" w:styleId="text1">
    <w:name w:val="text1"/>
    <w:qFormat/>
    <w:rPr>
      <w:rFonts w:ascii="宋体" w:eastAsia="宋体" w:hAnsi="宋体" w:hint="eastAsia"/>
      <w:color w:val="000000"/>
      <w:sz w:val="21"/>
      <w:szCs w:val="21"/>
    </w:rPr>
  </w:style>
  <w:style w:type="character" w:customStyle="1" w:styleId="CharChar17">
    <w:name w:val="Char Char17"/>
    <w:qFormat/>
    <w:rPr>
      <w:rFonts w:ascii="黑体" w:eastAsia="黑体" w:hAnsi="Times New Roman" w:cs="Times New Roman"/>
      <w:b/>
      <w:spacing w:val="-2"/>
      <w:kern w:val="18"/>
      <w:sz w:val="28"/>
      <w:szCs w:val="20"/>
    </w:rPr>
  </w:style>
  <w:style w:type="character" w:customStyle="1" w:styleId="CharChar91">
    <w:name w:val="Char Char91"/>
    <w:qFormat/>
    <w:rPr>
      <w:rFonts w:ascii="仿宋_GB2312" w:eastAsia="仿宋_GB2312" w:hAnsi="Times New Roman" w:cs="Times New Roman"/>
      <w:sz w:val="28"/>
      <w:szCs w:val="20"/>
    </w:rPr>
  </w:style>
  <w:style w:type="character" w:customStyle="1" w:styleId="yuCharCharChar">
    <w:name w:val="正文yu Char Char Char"/>
    <w:qFormat/>
    <w:rPr>
      <w:rFonts w:ascii="宋体" w:eastAsia="宋体" w:hAnsi="宋体"/>
      <w:kern w:val="2"/>
      <w:sz w:val="28"/>
      <w:szCs w:val="28"/>
      <w:lang w:val="en-US" w:eastAsia="zh-CN" w:bidi="ar-SA"/>
    </w:rPr>
  </w:style>
  <w:style w:type="character" w:customStyle="1" w:styleId="CharChar81">
    <w:name w:val="Char Char81"/>
    <w:qFormat/>
    <w:rPr>
      <w:rFonts w:ascii="宋体" w:eastAsia="宋体" w:hAnsi="Times New Roman" w:cs="Times New Roman"/>
      <w:color w:val="000000"/>
      <w:sz w:val="28"/>
      <w:szCs w:val="20"/>
    </w:rPr>
  </w:style>
  <w:style w:type="character" w:customStyle="1" w:styleId="style271">
    <w:name w:val="style271"/>
    <w:qFormat/>
  </w:style>
  <w:style w:type="character" w:customStyle="1" w:styleId="CharChar1">
    <w:name w:val="Char Char1"/>
    <w:qFormat/>
    <w:rPr>
      <w:rFonts w:ascii="宋体" w:eastAsia="宋体" w:hAnsi="Courier New"/>
      <w:kern w:val="2"/>
      <w:sz w:val="21"/>
      <w:lang w:val="en-US" w:eastAsia="zh-CN" w:bidi="ar-SA"/>
    </w:rPr>
  </w:style>
  <w:style w:type="character" w:customStyle="1" w:styleId="style31">
    <w:name w:val="style31"/>
    <w:qFormat/>
    <w:rPr>
      <w:sz w:val="24"/>
      <w:szCs w:val="24"/>
    </w:rPr>
  </w:style>
  <w:style w:type="character" w:customStyle="1" w:styleId="CharChar14">
    <w:name w:val="Char Char14"/>
    <w:qFormat/>
    <w:rPr>
      <w:rFonts w:ascii="黑体" w:eastAsia="黑体" w:hAnsi="Times New Roman" w:cs="Times New Roman"/>
      <w:kern w:val="0"/>
      <w:sz w:val="32"/>
      <w:szCs w:val="20"/>
    </w:rPr>
  </w:style>
  <w:style w:type="character" w:customStyle="1" w:styleId="CharChar271">
    <w:name w:val="Char Char271"/>
    <w:qFormat/>
    <w:rPr>
      <w:rFonts w:ascii="黑体" w:eastAsia="黑体"/>
      <w:b/>
      <w:spacing w:val="-2"/>
      <w:kern w:val="18"/>
      <w:sz w:val="24"/>
    </w:rPr>
  </w:style>
  <w:style w:type="character" w:customStyle="1" w:styleId="affd">
    <w:name w:val="货币"/>
    <w:qFormat/>
    <w:rPr>
      <w:rFonts w:ascii="Times New Roman" w:eastAsia="宋体" w:hAnsi="Times New Roman"/>
      <w:i/>
      <w:sz w:val="28"/>
    </w:rPr>
  </w:style>
  <w:style w:type="character" w:customStyle="1" w:styleId="CharChar26">
    <w:name w:val="Char Char26"/>
    <w:qFormat/>
    <w:rPr>
      <w:sz w:val="18"/>
    </w:rPr>
  </w:style>
  <w:style w:type="character" w:customStyle="1" w:styleId="font12-blue-bold1">
    <w:name w:val="font12-blue-bold1"/>
    <w:qFormat/>
    <w:rPr>
      <w:b/>
      <w:bCs/>
      <w:color w:val="0249A5"/>
      <w:sz w:val="18"/>
      <w:szCs w:val="18"/>
      <w:u w:val="none"/>
    </w:rPr>
  </w:style>
  <w:style w:type="character" w:customStyle="1" w:styleId="oblogtext">
    <w:name w:val="oblog_text"/>
    <w:qFormat/>
  </w:style>
  <w:style w:type="character" w:customStyle="1" w:styleId="CharChar181">
    <w:name w:val="Char Char181"/>
    <w:qFormat/>
    <w:rPr>
      <w:rFonts w:ascii="Arial" w:eastAsia="仿宋_GB2312" w:hAnsi="Times New Roman" w:cs="Times New Roman"/>
      <w:b/>
      <w:spacing w:val="-2"/>
      <w:kern w:val="18"/>
      <w:sz w:val="32"/>
      <w:szCs w:val="24"/>
    </w:rPr>
  </w:style>
  <w:style w:type="character" w:customStyle="1" w:styleId="unnamed4">
    <w:name w:val="unnamed4"/>
    <w:qFormat/>
  </w:style>
  <w:style w:type="character" w:customStyle="1" w:styleId="CharChar111">
    <w:name w:val="Char Char111"/>
    <w:qFormat/>
    <w:rPr>
      <w:rFonts w:ascii="宋体" w:eastAsia="宋体" w:hAnsi="Times New Roman" w:cs="Times New Roman"/>
      <w:szCs w:val="20"/>
    </w:rPr>
  </w:style>
  <w:style w:type="character" w:customStyle="1" w:styleId="SectionHeadingCharChar1">
    <w:name w:val="Section Heading Char Char1"/>
    <w:qFormat/>
    <w:rPr>
      <w:b/>
      <w:kern w:val="44"/>
      <w:sz w:val="44"/>
    </w:rPr>
  </w:style>
  <w:style w:type="character" w:customStyle="1" w:styleId="f31">
    <w:name w:val="f31"/>
    <w:qFormat/>
    <w:rPr>
      <w:spacing w:val="375"/>
      <w:sz w:val="18"/>
      <w:szCs w:val="18"/>
      <w:u w:val="none"/>
    </w:rPr>
  </w:style>
  <w:style w:type="character" w:customStyle="1" w:styleId="CharChar11">
    <w:name w:val="Char Char11"/>
    <w:qFormat/>
    <w:rPr>
      <w:rFonts w:ascii="宋体" w:eastAsia="宋体" w:hAnsi="Times New Roman" w:cs="Times New Roman"/>
      <w:szCs w:val="20"/>
    </w:rPr>
  </w:style>
  <w:style w:type="character" w:customStyle="1" w:styleId="CharChar">
    <w:name w:val="正文文字缩进 Char Char"/>
    <w:qFormat/>
    <w:rPr>
      <w:rFonts w:ascii="仿宋_GB2312" w:eastAsia="仿宋_GB2312"/>
      <w:kern w:val="2"/>
      <w:sz w:val="28"/>
    </w:rPr>
  </w:style>
  <w:style w:type="character" w:customStyle="1" w:styleId="Charf1">
    <w:name w:val="正文文本缩进 Char"/>
    <w:qFormat/>
    <w:rPr>
      <w:rFonts w:ascii="仿宋_GB2312" w:eastAsia="仿宋_GB2312"/>
      <w:sz w:val="28"/>
      <w:lang w:val="zh-CN" w:eastAsia="zh-CN" w:bidi="ar-SA"/>
    </w:rPr>
  </w:style>
  <w:style w:type="character" w:customStyle="1" w:styleId="font41">
    <w:name w:val="font41"/>
    <w:basedOn w:val="a2"/>
    <w:qFormat/>
    <w:rPr>
      <w:rFonts w:ascii="宋体" w:eastAsia="宋体" w:hAnsi="宋体" w:cs="宋体" w:hint="eastAsia"/>
      <w:color w:val="000000"/>
      <w:sz w:val="18"/>
      <w:szCs w:val="18"/>
      <w:u w:val="none"/>
    </w:rPr>
  </w:style>
  <w:style w:type="character" w:customStyle="1" w:styleId="ng-scope">
    <w:name w:val="ng-scope"/>
    <w:basedOn w:val="a2"/>
    <w:qFormat/>
  </w:style>
  <w:style w:type="character" w:customStyle="1" w:styleId="big1">
    <w:name w:val="big1"/>
    <w:qFormat/>
    <w:rPr>
      <w:sz w:val="30"/>
      <w:szCs w:val="30"/>
    </w:rPr>
  </w:style>
  <w:style w:type="character" w:customStyle="1" w:styleId="LegalLevel1111CharChar">
    <w:name w:val="Legal Level 1.1.1.1. Char Char"/>
    <w:qFormat/>
    <w:rPr>
      <w:rFonts w:ascii="黑体" w:eastAsia="黑体"/>
      <w:sz w:val="21"/>
    </w:rPr>
  </w:style>
  <w:style w:type="character" w:customStyle="1" w:styleId="BodyTextxCharChar">
    <w:name w:val="Body Text x Char Char"/>
    <w:qFormat/>
    <w:rPr>
      <w:rFonts w:ascii="幼圆" w:eastAsia="幼圆"/>
      <w:kern w:val="2"/>
      <w:sz w:val="15"/>
    </w:rPr>
  </w:style>
  <w:style w:type="character" w:customStyle="1" w:styleId="CharChar15">
    <w:name w:val="Char Char15"/>
    <w:qFormat/>
    <w:rPr>
      <w:rFonts w:ascii="仿宋_GB2312" w:eastAsia="仿宋_GB2312" w:hAnsi="Times New Roman" w:cs="Times New Roman"/>
      <w:b/>
      <w:kern w:val="0"/>
      <w:sz w:val="32"/>
      <w:szCs w:val="20"/>
    </w:rPr>
  </w:style>
  <w:style w:type="character" w:customStyle="1" w:styleId="CharChar0">
    <w:name w:val="Char Char"/>
    <w:qFormat/>
    <w:rPr>
      <w:rFonts w:ascii="宋体" w:eastAsia="宋体" w:hAnsi="Courier New"/>
      <w:kern w:val="2"/>
      <w:sz w:val="21"/>
      <w:lang w:val="en-US" w:eastAsia="zh-CN" w:bidi="ar-SA"/>
    </w:rPr>
  </w:style>
  <w:style w:type="character" w:customStyle="1" w:styleId="CharChar27">
    <w:name w:val="Char Char27"/>
    <w:qFormat/>
    <w:rPr>
      <w:rFonts w:ascii="黑体" w:eastAsia="黑体"/>
      <w:b/>
      <w:spacing w:val="-2"/>
      <w:kern w:val="18"/>
      <w:sz w:val="24"/>
    </w:rPr>
  </w:style>
  <w:style w:type="character" w:customStyle="1" w:styleId="z42">
    <w:name w:val="z42"/>
    <w:qFormat/>
    <w:rPr>
      <w:sz w:val="18"/>
      <w:szCs w:val="18"/>
    </w:rPr>
  </w:style>
  <w:style w:type="character" w:customStyle="1" w:styleId="read1">
    <w:name w:val="read1"/>
    <w:qFormat/>
    <w:rPr>
      <w:rFonts w:ascii="宋体" w:eastAsia="宋体" w:hAnsi="宋体" w:hint="eastAsia"/>
      <w:color w:val="000000"/>
      <w:sz w:val="21"/>
      <w:szCs w:val="21"/>
      <w:u w:val="none"/>
    </w:rPr>
  </w:style>
  <w:style w:type="character" w:customStyle="1" w:styleId="310">
    <w:name w:val="无格式表格 31"/>
    <w:uiPriority w:val="19"/>
    <w:qFormat/>
    <w:rPr>
      <w:rFonts w:eastAsia="宋体" w:cs="Times New Roman"/>
      <w:i/>
      <w:iCs/>
      <w:color w:val="808080"/>
      <w:szCs w:val="22"/>
      <w:lang w:eastAsia="zh-CN"/>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CharChar18">
    <w:name w:val="Char Char18"/>
    <w:qFormat/>
    <w:rPr>
      <w:rFonts w:ascii="Arial" w:eastAsia="仿宋_GB2312" w:hAnsi="Times New Roman" w:cs="Times New Roman"/>
      <w:b/>
      <w:spacing w:val="-2"/>
      <w:kern w:val="18"/>
      <w:sz w:val="32"/>
      <w:szCs w:val="24"/>
    </w:rPr>
  </w:style>
  <w:style w:type="character" w:customStyle="1" w:styleId="font1">
    <w:name w:val="font1"/>
    <w:qFormat/>
    <w:rPr>
      <w:color w:val="000000"/>
      <w:sz w:val="24"/>
      <w:szCs w:val="24"/>
    </w:rPr>
  </w:style>
  <w:style w:type="character" w:customStyle="1" w:styleId="4ArialNarrowGB231200Char">
    <w:name w:val="样式 标题 4 + (西文) Arial Narrow (中文) 仿宋_GB2312 段前: 0 磅 段后: 0 磅 行... Char"/>
    <w:link w:val="4ArialNarrowGB231200"/>
    <w:qFormat/>
    <w:rPr>
      <w:rFonts w:ascii="Arial Narrow" w:eastAsia="仿宋_GB2312" w:hAnsi="Arial Narrow" w:cs="宋体"/>
      <w:bCs/>
      <w:sz w:val="28"/>
    </w:rPr>
  </w:style>
  <w:style w:type="paragraph" w:customStyle="1" w:styleId="4ArialNarrowGB231200">
    <w:name w:val="样式 标题 4 + (西文) Arial Narrow (中文) 仿宋_GB2312 段前: 0 磅 段后: 0 磅 行..."/>
    <w:basedOn w:val="4"/>
    <w:link w:val="4ArialNarrowGB231200Char"/>
    <w:qFormat/>
    <w:pPr>
      <w:spacing w:before="0" w:after="0" w:line="360" w:lineRule="auto"/>
      <w:ind w:firstLineChars="200" w:firstLine="560"/>
    </w:pPr>
    <w:rPr>
      <w:rFonts w:ascii="Arial Narrow" w:eastAsia="仿宋_GB2312" w:hAnsi="Arial Narrow" w:cs="宋体"/>
      <w:b w:val="0"/>
      <w:bCs/>
      <w:szCs w:val="22"/>
    </w:rPr>
  </w:style>
  <w:style w:type="character" w:customStyle="1" w:styleId="CharChar161">
    <w:name w:val="Char Char161"/>
    <w:qFormat/>
    <w:rPr>
      <w:rFonts w:ascii="黑体" w:eastAsia="黑体" w:hAnsi="Times New Roman" w:cs="Times New Roman"/>
      <w:b/>
      <w:spacing w:val="-2"/>
      <w:kern w:val="18"/>
      <w:sz w:val="24"/>
      <w:szCs w:val="20"/>
    </w:rPr>
  </w:style>
  <w:style w:type="character" w:customStyle="1" w:styleId="3Char2">
    <w:name w:val="正文文字缩进 3 Char2"/>
    <w:qFormat/>
    <w:rPr>
      <w:rFonts w:ascii="仿宋_GB2312" w:eastAsia="仿宋_GB2312"/>
      <w:sz w:val="28"/>
      <w:lang w:val="en-US" w:eastAsia="zh-CN" w:bidi="ar-SA"/>
    </w:rPr>
  </w:style>
  <w:style w:type="character" w:customStyle="1" w:styleId="LegalLevel111CharChar">
    <w:name w:val="Legal Level 1.1.1. Char Char"/>
    <w:qFormat/>
    <w:rPr>
      <w:rFonts w:ascii="黑体" w:eastAsia="黑体"/>
      <w:sz w:val="32"/>
    </w:rPr>
  </w:style>
  <w:style w:type="character" w:customStyle="1" w:styleId="2Char10">
    <w:name w:val="正文首行缩进 2 Char1"/>
    <w:basedOn w:val="Char21"/>
    <w:qFormat/>
    <w:rPr>
      <w:rFonts w:ascii="Times New Roman" w:eastAsia="楷体_GB2312" w:hAnsi="Times New Roman" w:cs="Times New Roman"/>
      <w:b/>
      <w:kern w:val="2"/>
      <w:sz w:val="21"/>
      <w:szCs w:val="20"/>
    </w:rPr>
  </w:style>
  <w:style w:type="character" w:customStyle="1" w:styleId="Char12">
    <w:name w:val="正文首行缩进 Char1"/>
    <w:basedOn w:val="Char20"/>
    <w:qFormat/>
    <w:rPr>
      <w:rFonts w:ascii="Times New Roman" w:eastAsia="宋体" w:hAnsi="Times New Roman" w:cs="Times New Roman"/>
      <w:kern w:val="2"/>
      <w:sz w:val="21"/>
      <w:szCs w:val="20"/>
    </w:rPr>
  </w:style>
  <w:style w:type="character" w:customStyle="1" w:styleId="Char13">
    <w:name w:val="签名 Char1"/>
    <w:basedOn w:val="a2"/>
    <w:qFormat/>
    <w:rPr>
      <w:kern w:val="2"/>
      <w:sz w:val="21"/>
    </w:rPr>
  </w:style>
  <w:style w:type="paragraph" w:customStyle="1" w:styleId="xl359">
    <w:name w:val="xl3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320">
    <w:name w:val="正文32"/>
    <w:qFormat/>
    <w:pPr>
      <w:widowControl w:val="0"/>
      <w:adjustRightInd w:val="0"/>
      <w:spacing w:line="360" w:lineRule="auto"/>
      <w:ind w:firstLine="561"/>
      <w:jc w:val="both"/>
      <w:textAlignment w:val="baseline"/>
    </w:pPr>
    <w:rPr>
      <w:rFonts w:ascii="宋体"/>
      <w:sz w:val="28"/>
    </w:rPr>
  </w:style>
  <w:style w:type="paragraph" w:customStyle="1" w:styleId="affe">
    <w:name w:val="×??Ó¡À¡§ºÌ"/>
    <w:basedOn w:val="a0"/>
    <w:qFormat/>
    <w:pPr>
      <w:widowControl/>
      <w:overflowPunct w:val="0"/>
      <w:autoSpaceDE w:val="0"/>
      <w:autoSpaceDN w:val="0"/>
      <w:adjustRightInd w:val="0"/>
      <w:spacing w:after="140" w:line="360" w:lineRule="auto"/>
      <w:ind w:left="-383"/>
      <w:textAlignment w:val="baseline"/>
    </w:pPr>
    <w:rPr>
      <w:rFonts w:ascii="Arial" w:eastAsia="宋体" w:hAnsi="Arial" w:cs="Arial"/>
      <w:kern w:val="0"/>
      <w:sz w:val="28"/>
      <w:szCs w:val="28"/>
    </w:rPr>
  </w:style>
  <w:style w:type="paragraph" w:customStyle="1" w:styleId="xl106">
    <w:name w:val="xl10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355">
    <w:name w:val="xl35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0">
    <w:name w:val="xl3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22">
    <w:name w:val="xl3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97">
    <w:name w:val="xl9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336">
    <w:name w:val="xl3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
    <w:name w:val="表格文字"/>
    <w:basedOn w:val="a0"/>
    <w:qFormat/>
    <w:pPr>
      <w:spacing w:before="40" w:after="40"/>
      <w:jc w:val="center"/>
    </w:pPr>
    <w:rPr>
      <w:rFonts w:ascii="Garamond" w:eastAsia="仿宋_GB2312" w:hAnsi="Garamond" w:cs="Times New Roman"/>
      <w:sz w:val="24"/>
      <w:szCs w:val="20"/>
    </w:rPr>
  </w:style>
  <w:style w:type="paragraph" w:customStyle="1" w:styleId="xl369">
    <w:name w:val="xl3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3-">
    <w:name w:val="×Ó±êÌâ3-×¢ÊÍ"/>
    <w:basedOn w:val="a0"/>
    <w:qFormat/>
    <w:pPr>
      <w:widowControl/>
      <w:tabs>
        <w:tab w:val="left" w:pos="595"/>
        <w:tab w:val="center" w:pos="2245"/>
        <w:tab w:val="center" w:pos="6497"/>
      </w:tabs>
      <w:overflowPunct w:val="0"/>
      <w:autoSpaceDE w:val="0"/>
      <w:autoSpaceDN w:val="0"/>
      <w:adjustRightInd w:val="0"/>
      <w:spacing w:after="120" w:line="360" w:lineRule="auto"/>
      <w:ind w:left="-383"/>
    </w:pPr>
    <w:rPr>
      <w:rFonts w:ascii="Times New Roman" w:eastAsia="宋体" w:hAnsi="Times New Roman" w:cs="Times New Roman"/>
      <w:kern w:val="0"/>
      <w:sz w:val="24"/>
      <w:szCs w:val="20"/>
    </w:rPr>
  </w:style>
  <w:style w:type="paragraph" w:customStyle="1" w:styleId="3-0">
    <w:name w:val="子标题3-注释"/>
    <w:basedOn w:val="a0"/>
    <w:qFormat/>
    <w:pPr>
      <w:tabs>
        <w:tab w:val="left" w:pos="595"/>
        <w:tab w:val="center" w:pos="2245"/>
        <w:tab w:val="center" w:pos="6497"/>
      </w:tabs>
      <w:autoSpaceDE w:val="0"/>
      <w:autoSpaceDN w:val="0"/>
      <w:adjustRightInd w:val="0"/>
      <w:spacing w:after="140" w:line="432" w:lineRule="exact"/>
      <w:ind w:firstLine="595"/>
    </w:pPr>
    <w:rPr>
      <w:rFonts w:ascii="Times New Roman" w:eastAsia="宋体" w:hAnsi="Times New Roman" w:cs="Times New Roman"/>
      <w:kern w:val="0"/>
      <w:sz w:val="28"/>
      <w:szCs w:val="28"/>
    </w:rPr>
  </w:style>
  <w:style w:type="paragraph" w:customStyle="1" w:styleId="xl46">
    <w:name w:val="xl4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xl189">
    <w:name w:val="xl189"/>
    <w:basedOn w:val="a0"/>
    <w:qFormat/>
    <w:pPr>
      <w:widowControl/>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313">
    <w:name w:val="xl3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Enclosure">
    <w:name w:val="Enclosure"/>
    <w:basedOn w:val="aa"/>
    <w:next w:val="a0"/>
    <w:qFormat/>
    <w:pPr>
      <w:keepNext/>
      <w:keepLines/>
      <w:overflowPunct w:val="0"/>
      <w:autoSpaceDE w:val="0"/>
      <w:autoSpaceDN w:val="0"/>
      <w:adjustRightInd w:val="0"/>
      <w:spacing w:after="240" w:line="240" w:lineRule="atLeast"/>
      <w:jc w:val="both"/>
      <w:textAlignment w:val="baseline"/>
    </w:pPr>
    <w:rPr>
      <w:rFonts w:ascii="Garamond" w:eastAsia="仿宋_GB2312" w:hAnsi="Garamond"/>
      <w:kern w:val="18"/>
      <w:sz w:val="28"/>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afff0">
    <w:name w:val="水印"/>
    <w:basedOn w:val="a0"/>
    <w:qFormat/>
    <w:pPr>
      <w:adjustRightInd w:val="0"/>
      <w:spacing w:line="240" w:lineRule="atLeast"/>
      <w:textAlignment w:val="baseline"/>
    </w:pPr>
    <w:rPr>
      <w:rFonts w:ascii="Times New Roman" w:eastAsia="宋体" w:hAnsi="Times New Roman" w:cs="Times New Roman"/>
      <w:kern w:val="0"/>
      <w:szCs w:val="20"/>
    </w:rPr>
  </w:style>
  <w:style w:type="paragraph" w:customStyle="1" w:styleId="xl93">
    <w:name w:val="xl93"/>
    <w:basedOn w:val="a0"/>
    <w:qFormat/>
    <w:pPr>
      <w:widowControl/>
      <w:spacing w:before="100" w:beforeAutospacing="1" w:after="100" w:afterAutospacing="1"/>
      <w:jc w:val="left"/>
    </w:pPr>
    <w:rPr>
      <w:rFonts w:ascii="Arial Narrow" w:eastAsia="宋体" w:hAnsi="Arial Narrow" w:cs="宋体"/>
      <w:color w:val="000000"/>
      <w:kern w:val="0"/>
      <w:sz w:val="18"/>
      <w:szCs w:val="18"/>
    </w:rPr>
  </w:style>
  <w:style w:type="paragraph" w:customStyle="1" w:styleId="CharCharChar1">
    <w:name w:val="Char Char Char1"/>
    <w:basedOn w:val="a0"/>
    <w:qFormat/>
    <w:rPr>
      <w:rFonts w:ascii="Tahoma" w:eastAsia="宋体" w:hAnsi="Tahoma" w:cs="Times New Roman"/>
      <w:sz w:val="24"/>
      <w:szCs w:val="20"/>
    </w:rPr>
  </w:style>
  <w:style w:type="paragraph" w:customStyle="1" w:styleId="xl354">
    <w:name w:val="xl35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afff1">
    <w:name w:val="杨"/>
    <w:basedOn w:val="a0"/>
    <w:qFormat/>
    <w:pPr>
      <w:adjustRightInd w:val="0"/>
      <w:spacing w:before="60" w:after="60" w:line="380" w:lineRule="atLeast"/>
      <w:ind w:firstLine="482"/>
      <w:textAlignment w:val="baseline"/>
    </w:pPr>
    <w:rPr>
      <w:rFonts w:ascii="Arial Narrow" w:eastAsia="宋体" w:hAnsi="Arial Narrow" w:cs="Times New Roman"/>
      <w:kern w:val="0"/>
      <w:sz w:val="24"/>
      <w:szCs w:val="20"/>
    </w:rPr>
  </w:style>
  <w:style w:type="paragraph" w:customStyle="1" w:styleId="xl196">
    <w:name w:val="xl196"/>
    <w:basedOn w:val="a0"/>
    <w:qFormat/>
    <w:pPr>
      <w:widowControl/>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327">
    <w:name w:val="xl32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0"/>
    <w:qFormat/>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48">
    <w:name w:val="xl34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7">
    <w:name w:val="xl5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color w:val="000000"/>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53">
    <w:name w:val="xl353"/>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24">
    <w:name w:val="xl3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PageTitle">
    <w:name w:val="Page Title+"/>
    <w:basedOn w:val="a0"/>
    <w:next w:val="a0"/>
    <w:qFormat/>
    <w:pPr>
      <w:pageBreakBefore/>
      <w:widowControl/>
      <w:pBdr>
        <w:left w:val="single" w:sz="6" w:space="12" w:color="000000"/>
        <w:bottom w:val="single" w:sz="6" w:space="14" w:color="FFFFFF"/>
      </w:pBdr>
      <w:tabs>
        <w:tab w:val="right" w:pos="11907"/>
      </w:tabs>
      <w:spacing w:after="240"/>
      <w:jc w:val="left"/>
    </w:pPr>
    <w:rPr>
      <w:rFonts w:ascii="Arial Black" w:eastAsia="宋体" w:hAnsi="Arial Black" w:cs="Times New Roman"/>
      <w:kern w:val="0"/>
      <w:sz w:val="36"/>
      <w:szCs w:val="20"/>
    </w:rPr>
  </w:style>
  <w:style w:type="paragraph" w:customStyle="1" w:styleId="xl202">
    <w:name w:val="xl20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content">
    <w:name w:val="content"/>
    <w:basedOn w:val="a0"/>
    <w:qFormat/>
    <w:pPr>
      <w:widowControl/>
      <w:spacing w:before="100" w:beforeAutospacing="1" w:after="100" w:afterAutospacing="1" w:line="360" w:lineRule="auto"/>
    </w:pPr>
    <w:rPr>
      <w:rFonts w:ascii="宋体" w:eastAsia="宋体" w:hAnsi="宋体" w:cs="Times New Roman"/>
      <w:kern w:val="0"/>
      <w:sz w:val="18"/>
      <w:szCs w:val="18"/>
    </w:rPr>
  </w:style>
  <w:style w:type="paragraph" w:customStyle="1" w:styleId="CharCharCharCharCharCharCharCharCharCharCharCharCharCharChar1">
    <w:name w:val="Char Char Char Char Char Char Char Char Char Char Char Char Char Char Char1"/>
    <w:basedOn w:val="a0"/>
    <w:qFormat/>
    <w:rPr>
      <w:rFonts w:ascii="Tahoma" w:eastAsia="宋体" w:hAnsi="Tahoma" w:cs="Times New Roman"/>
      <w:sz w:val="24"/>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H2">
    <w:name w:val="H2"/>
    <w:basedOn w:val="a0"/>
    <w:qFormat/>
    <w:pPr>
      <w:widowControl/>
      <w:overflowPunct w:val="0"/>
      <w:autoSpaceDE w:val="0"/>
      <w:autoSpaceDN w:val="0"/>
      <w:adjustRightInd w:val="0"/>
      <w:spacing w:before="240" w:after="240" w:line="360" w:lineRule="atLeast"/>
      <w:ind w:right="28"/>
      <w:textAlignment w:val="baseline"/>
    </w:pPr>
    <w:rPr>
      <w:rFonts w:ascii="仿宋_GB2312" w:eastAsia="仿宋_GB2312" w:hAnsi="Times New Roman" w:cs="Times New Roman"/>
      <w:b/>
      <w:kern w:val="0"/>
      <w:sz w:val="28"/>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16"/>
      <w:szCs w:val="16"/>
    </w:rPr>
  </w:style>
  <w:style w:type="paragraph" w:customStyle="1" w:styleId="fig">
    <w:name w:val="fig"/>
    <w:basedOn w:val="a0"/>
    <w:qFormat/>
    <w:pPr>
      <w:overflowPunct w:val="0"/>
      <w:autoSpaceDE w:val="0"/>
      <w:autoSpaceDN w:val="0"/>
      <w:adjustRightInd w:val="0"/>
      <w:spacing w:before="120" w:after="240" w:line="360" w:lineRule="atLeast"/>
      <w:jc w:val="center"/>
      <w:textAlignment w:val="baseline"/>
    </w:pPr>
    <w:rPr>
      <w:rFonts w:ascii="黑体" w:eastAsia="黑体" w:hAnsi="Times New Roman" w:cs="Times New Roman"/>
      <w:kern w:val="0"/>
      <w:sz w:val="24"/>
      <w:szCs w:val="20"/>
    </w:rPr>
  </w:style>
  <w:style w:type="paragraph" w:customStyle="1" w:styleId="xl316">
    <w:name w:val="xl316"/>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206">
    <w:name w:val="xl20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186">
    <w:name w:val="xl18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24"/>
      <w:szCs w:val="24"/>
    </w:rPr>
  </w:style>
  <w:style w:type="paragraph" w:customStyle="1" w:styleId="xl357">
    <w:name w:val="xl3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2b">
    <w:name w:val="样式2"/>
    <w:basedOn w:val="a0"/>
    <w:next w:val="22"/>
    <w:qFormat/>
    <w:pPr>
      <w:spacing w:after="120" w:line="480" w:lineRule="auto"/>
      <w:ind w:leftChars="200" w:left="420"/>
    </w:pPr>
    <w:rPr>
      <w:rFonts w:ascii="Times New Roman" w:eastAsia="宋体" w:hAnsi="Times New Roman" w:cs="Times New Roman"/>
      <w:szCs w:val="21"/>
    </w:rPr>
  </w:style>
  <w:style w:type="paragraph" w:customStyle="1" w:styleId="xl329">
    <w:name w:val="xl32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1">
    <w:name w:val="xl3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Y">
    <w:name w:val="正文Y"/>
    <w:basedOn w:val="a0"/>
    <w:qFormat/>
    <w:pPr>
      <w:adjustRightInd w:val="0"/>
      <w:spacing w:before="40" w:after="40" w:line="360" w:lineRule="atLeast"/>
      <w:ind w:firstLine="425"/>
    </w:pPr>
    <w:rPr>
      <w:rFonts w:ascii="Arial" w:eastAsia="宋体" w:hAnsi="Arial" w:cs="Times New Roman"/>
      <w:szCs w:val="20"/>
    </w:rPr>
  </w:style>
  <w:style w:type="paragraph" w:customStyle="1" w:styleId="xl41">
    <w:name w:val="xl41"/>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textbody-c1">
    <w:name w:val="textbody-c1"/>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a">
    <w:name w:val="附 注"/>
    <w:basedOn w:val="a1"/>
    <w:qFormat/>
    <w:pPr>
      <w:numPr>
        <w:numId w:val="3"/>
      </w:numPr>
      <w:tabs>
        <w:tab w:val="left" w:pos="927"/>
      </w:tabs>
      <w:spacing w:after="60" w:line="440" w:lineRule="atLeast"/>
      <w:ind w:left="0" w:firstLine="624"/>
    </w:pPr>
    <w:rPr>
      <w:rFonts w:ascii="Garamond" w:eastAsia="仿宋_GB2312" w:hAnsi="Garamond"/>
      <w:sz w:val="28"/>
      <w:lang w:val="en-US"/>
    </w:rPr>
  </w:style>
  <w:style w:type="paragraph" w:customStyle="1" w:styleId="g1">
    <w:name w:val="g1"/>
    <w:basedOn w:val="a0"/>
    <w:qFormat/>
    <w:pPr>
      <w:widowControl/>
      <w:spacing w:before="100" w:beforeAutospacing="1" w:after="100" w:afterAutospacing="1" w:line="180" w:lineRule="atLeast"/>
      <w:jc w:val="left"/>
    </w:pPr>
    <w:rPr>
      <w:rFonts w:ascii="Arial" w:eastAsia="Arial Unicode MS" w:hAnsi="Arial" w:cs="Arial"/>
      <w:color w:val="5E5E5E"/>
      <w:kern w:val="0"/>
      <w:sz w:val="12"/>
      <w:szCs w:val="1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34">
    <w:name w:val="纯文本3"/>
    <w:basedOn w:val="a0"/>
    <w:qFormat/>
    <w:rPr>
      <w:rFonts w:ascii="宋体" w:eastAsia="宋体" w:hAnsi="Courier New" w:cs="Courier New"/>
      <w:szCs w:val="21"/>
    </w:rPr>
  </w:style>
  <w:style w:type="paragraph" w:customStyle="1" w:styleId="xl221">
    <w:name w:val="xl221"/>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Narrow" w:eastAsia="宋体" w:hAnsi="Arial Narrow" w:cs="宋体"/>
      <w:kern w:val="0"/>
      <w:sz w:val="18"/>
      <w:szCs w:val="18"/>
    </w:rPr>
  </w:style>
  <w:style w:type="paragraph" w:customStyle="1" w:styleId="DefaultText">
    <w:name w:val="Default Text"/>
    <w:basedOn w:val="a0"/>
    <w:qFormat/>
    <w:pPr>
      <w:autoSpaceDE w:val="0"/>
      <w:autoSpaceDN w:val="0"/>
      <w:adjustRightInd w:val="0"/>
      <w:spacing w:line="360" w:lineRule="auto"/>
      <w:ind w:firstLine="607"/>
    </w:pPr>
    <w:rPr>
      <w:rFonts w:ascii="Times New Roman" w:eastAsia="宋体" w:hAnsi="Times New Roman" w:cs="Times New Roman"/>
      <w:kern w:val="0"/>
      <w:sz w:val="28"/>
      <w:szCs w:val="28"/>
    </w:rPr>
  </w:style>
  <w:style w:type="paragraph" w:customStyle="1" w:styleId="43">
    <w:name w:val="4"/>
    <w:basedOn w:val="a0"/>
    <w:next w:val="22"/>
    <w:qFormat/>
    <w:pPr>
      <w:snapToGrid w:val="0"/>
      <w:spacing w:line="300" w:lineRule="auto"/>
      <w:ind w:firstLineChars="200" w:firstLine="560"/>
    </w:pPr>
    <w:rPr>
      <w:rFonts w:ascii="Times New Roman" w:eastAsia="仿宋_GB2312" w:hAnsi="Times New Roman" w:cs="Times New Roman"/>
      <w:sz w:val="28"/>
      <w:szCs w:val="24"/>
    </w:rPr>
  </w:style>
  <w:style w:type="paragraph" w:customStyle="1" w:styleId="xl92">
    <w:name w:val="xl92"/>
    <w:basedOn w:val="a0"/>
    <w:qFormat/>
    <w:pPr>
      <w:widowControl/>
      <w:spacing w:before="100" w:beforeAutospacing="1" w:after="100" w:afterAutospacing="1"/>
      <w:jc w:val="center"/>
    </w:pPr>
    <w:rPr>
      <w:rFonts w:ascii="Arial Narrow" w:eastAsia="宋体" w:hAnsi="Arial Narrow" w:cs="宋体"/>
      <w:color w:val="000000"/>
      <w:kern w:val="0"/>
      <w:sz w:val="32"/>
      <w:szCs w:val="32"/>
    </w:rPr>
  </w:style>
  <w:style w:type="paragraph" w:customStyle="1" w:styleId="style5">
    <w:name w:val="style5"/>
    <w:basedOn w:val="a0"/>
    <w:qFormat/>
    <w:pPr>
      <w:widowControl/>
      <w:spacing w:before="100" w:beforeAutospacing="1" w:after="100" w:afterAutospacing="1"/>
      <w:jc w:val="left"/>
    </w:pPr>
    <w:rPr>
      <w:rFonts w:ascii="宋体" w:eastAsia="宋体" w:hAnsi="宋体" w:cs="宋体"/>
      <w:b/>
      <w:bCs/>
      <w:color w:val="CC0000"/>
      <w:kern w:val="0"/>
      <w:sz w:val="24"/>
      <w:szCs w:val="24"/>
    </w:rPr>
  </w:style>
  <w:style w:type="paragraph" w:customStyle="1" w:styleId="2110">
    <w:name w:val="正文文本缩进 211"/>
    <w:basedOn w:val="a0"/>
    <w:qFormat/>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paragraph" w:customStyle="1" w:styleId="xl312">
    <w:name w:val="xl3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5">
    <w:name w:val="xl32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afff2">
    <w:name w:val="编号"/>
    <w:basedOn w:val="a0"/>
    <w:qFormat/>
    <w:pPr>
      <w:autoSpaceDE w:val="0"/>
      <w:autoSpaceDN w:val="0"/>
      <w:adjustRightInd w:val="0"/>
      <w:spacing w:line="360" w:lineRule="auto"/>
      <w:ind w:left="360" w:hanging="360"/>
    </w:pPr>
    <w:rPr>
      <w:rFonts w:ascii="Times New Roman" w:eastAsia="宋体" w:hAnsi="Times New Roman" w:cs="Times New Roman"/>
      <w:kern w:val="0"/>
      <w:sz w:val="28"/>
      <w:szCs w:val="28"/>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320">
    <w:name w:val="xl3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PP">
    <w:name w:val="PP 行"/>
    <w:basedOn w:val="af3"/>
    <w:qFormat/>
  </w:style>
  <w:style w:type="paragraph" w:customStyle="1" w:styleId="BodyText21">
    <w:name w:val="Body Text 21"/>
    <w:basedOn w:val="a0"/>
    <w:qFormat/>
    <w:pPr>
      <w:overflowPunct w:val="0"/>
      <w:autoSpaceDE w:val="0"/>
      <w:autoSpaceDN w:val="0"/>
      <w:adjustRightInd w:val="0"/>
      <w:textAlignment w:val="baseline"/>
    </w:pPr>
    <w:rPr>
      <w:rFonts w:ascii="宋体" w:eastAsia="宋体" w:hAnsi="Times New Roman" w:cs="Times New Roman"/>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111Bullets">
    <w:name w:val="1.1.1.1 Bullets"/>
    <w:basedOn w:val="a0"/>
    <w:qFormat/>
    <w:pPr>
      <w:widowControl/>
      <w:spacing w:before="120"/>
      <w:jc w:val="left"/>
    </w:pPr>
    <w:rPr>
      <w:rFonts w:ascii="Times New Roman" w:eastAsia="宋体" w:hAnsi="Times New Roman" w:cs="Times New Roman"/>
      <w:kern w:val="0"/>
      <w:sz w:val="22"/>
      <w:szCs w:val="20"/>
      <w:lang w:eastAsia="zh-TW"/>
    </w:rPr>
  </w:style>
  <w:style w:type="paragraph" w:customStyle="1" w:styleId="ParaCharCharCharChar">
    <w:name w:val="默认段落字体 Para Char Char Char Char"/>
    <w:basedOn w:val="a0"/>
    <w:qFormat/>
    <w:rPr>
      <w:rFonts w:ascii="Times New Roman" w:eastAsia="宋体" w:hAnsi="Times New Roman" w:cs="Times New Roman"/>
      <w:szCs w:val="24"/>
    </w:rPr>
  </w:style>
  <w:style w:type="paragraph" w:customStyle="1" w:styleId="area">
    <w:name w:val="area"/>
    <w:basedOn w:val="a0"/>
    <w:qFormat/>
    <w:pPr>
      <w:widowControl/>
      <w:spacing w:before="30"/>
      <w:jc w:val="center"/>
    </w:pPr>
    <w:rPr>
      <w:rFonts w:ascii="方正仿宋简体" w:eastAsia="方正仿宋简体" w:hAnsi="宋体" w:cs="Times New Roman"/>
      <w:color w:val="000000"/>
      <w:kern w:val="0"/>
      <w:sz w:val="28"/>
      <w:szCs w:val="2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4CharCharCharChar">
    <w:name w:val="4 Char Char Char Char"/>
    <w:basedOn w:val="a0"/>
    <w:qFormat/>
    <w:rPr>
      <w:rFonts w:ascii="Tahoma" w:eastAsia="宋体" w:hAnsi="Tahoma" w:cs="Times New Roman"/>
      <w:sz w:val="24"/>
      <w:szCs w:val="20"/>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afff3">
    <w:name w:val="已访问的超级链接"/>
    <w:qFormat/>
  </w:style>
  <w:style w:type="paragraph" w:customStyle="1" w:styleId="xl334">
    <w:name w:val="xl3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
    <w:name w:val="È±Ê¡ÎÄ±¾-×¢ÊÍ"/>
    <w:basedOn w:val="a0"/>
    <w:qFormat/>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xbt1">
    <w:name w:val="xbt1"/>
    <w:basedOn w:val="ZW0"/>
    <w:qFormat/>
    <w:pPr>
      <w:autoSpaceDE w:val="0"/>
      <w:autoSpaceDN w:val="0"/>
      <w:spacing w:before="180" w:after="180"/>
      <w:ind w:left="601" w:right="386"/>
      <w:jc w:val="left"/>
      <w:textAlignment w:val="bottom"/>
    </w:pPr>
    <w:rPr>
      <w:rFonts w:ascii="Arial" w:hAnsi="Arial"/>
      <w:b/>
      <w:sz w:val="30"/>
    </w:rPr>
  </w:style>
  <w:style w:type="paragraph" w:customStyle="1" w:styleId="afff4">
    <w:name w:val="屈正文"/>
    <w:basedOn w:val="a0"/>
    <w:qFormat/>
    <w:pPr>
      <w:tabs>
        <w:tab w:val="left" w:pos="1280"/>
        <w:tab w:val="left" w:pos="1718"/>
      </w:tabs>
      <w:spacing w:after="120"/>
      <w:ind w:firstLine="560"/>
    </w:pPr>
    <w:rPr>
      <w:rFonts w:ascii="Garamond" w:eastAsia="仿宋_GB2312" w:hAnsi="Garamond" w:cs="Times New Roman"/>
      <w:sz w:val="28"/>
      <w:szCs w:val="20"/>
    </w:rPr>
  </w:style>
  <w:style w:type="paragraph" w:customStyle="1" w:styleId="NormalIndent1">
    <w:name w:val="Normal Indent1"/>
    <w:basedOn w:val="a0"/>
    <w:qFormat/>
    <w:pPr>
      <w:ind w:firstLine="420"/>
    </w:pPr>
    <w:rPr>
      <w:rFonts w:ascii="Times New Roman" w:eastAsia="宋体" w:hAnsi="Times New Roman" w:cs="Times New Roman"/>
      <w:szCs w:val="20"/>
    </w:rPr>
  </w:style>
  <w:style w:type="paragraph" w:customStyle="1" w:styleId="xl209">
    <w:name w:val="xl20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kern w:val="0"/>
      <w:sz w:val="16"/>
      <w:szCs w:val="16"/>
    </w:rPr>
  </w:style>
  <w:style w:type="paragraph" w:customStyle="1" w:styleId="xl109">
    <w:name w:val="xl109"/>
    <w:basedOn w:val="a0"/>
    <w:qFormat/>
    <w:pPr>
      <w:widowControl/>
      <w:pBdr>
        <w:bottom w:val="single" w:sz="8"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xl368">
    <w:name w:val="xl3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afff5">
    <w:name w:val="内容"/>
    <w:basedOn w:val="a0"/>
    <w:qFormat/>
    <w:pPr>
      <w:spacing w:line="360" w:lineRule="exact"/>
      <w:ind w:firstLine="314"/>
    </w:pPr>
    <w:rPr>
      <w:rFonts w:ascii="楷体_GB2312" w:eastAsia="楷体_GB2312" w:hAnsi="Arial" w:cs="Arial"/>
      <w:sz w:val="28"/>
      <w:szCs w:val="24"/>
    </w:rPr>
  </w:style>
  <w:style w:type="paragraph" w:customStyle="1" w:styleId="afff6">
    <w:name w:val="????"/>
    <w:basedOn w:val="a1"/>
    <w:next w:val="a1"/>
    <w:qFormat/>
    <w:pPr>
      <w:overflowPunct w:val="0"/>
      <w:autoSpaceDE w:val="0"/>
      <w:autoSpaceDN w:val="0"/>
      <w:adjustRightInd w:val="0"/>
      <w:spacing w:before="194" w:after="194"/>
      <w:ind w:firstLine="525"/>
      <w:textAlignment w:val="baseline"/>
    </w:pPr>
    <w:rPr>
      <w:rFonts w:ascii="仿宋_GB2312" w:eastAsia="仿宋_GB2312"/>
      <w:sz w:val="28"/>
      <w:lang w:val="en-US"/>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kern w:val="0"/>
      <w:szCs w:val="21"/>
    </w:rPr>
  </w:style>
  <w:style w:type="paragraph" w:customStyle="1" w:styleId="XBT10">
    <w:name w:val="XBT1"/>
    <w:basedOn w:val="a0"/>
    <w:qFormat/>
    <w:pPr>
      <w:autoSpaceDE w:val="0"/>
      <w:autoSpaceDN w:val="0"/>
      <w:adjustRightInd w:val="0"/>
      <w:spacing w:before="120" w:after="240" w:line="312" w:lineRule="atLeast"/>
      <w:ind w:left="360"/>
      <w:textAlignment w:val="bottom"/>
    </w:pPr>
    <w:rPr>
      <w:rFonts w:ascii="黑体" w:eastAsia="黑体" w:hAnsi="Times New Roman" w:cs="Times New Roman"/>
      <w:b/>
      <w:kern w:val="0"/>
      <w:sz w:val="3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91">
    <w:name w:val="xl9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xl341">
    <w:name w:val="xl3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50">
    <w:name w:val="15"/>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16"/>
      <w:szCs w:val="16"/>
    </w:rPr>
  </w:style>
  <w:style w:type="paragraph" w:customStyle="1" w:styleId="2c">
    <w:name w:val="×Ó±êÌâ2"/>
    <w:basedOn w:val="a0"/>
    <w:qFormat/>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1d">
    <w:name w:val="正文文本缩进1"/>
    <w:basedOn w:val="a0"/>
    <w:qFormat/>
    <w:pPr>
      <w:tabs>
        <w:tab w:val="left" w:pos="1400"/>
      </w:tabs>
      <w:spacing w:before="156" w:after="156" w:line="520" w:lineRule="exact"/>
      <w:ind w:firstLine="480"/>
    </w:pPr>
    <w:rPr>
      <w:rFonts w:ascii="Times New Roman" w:eastAsia="仿宋_GB2312" w:hAnsi="Times New Roman" w:cs="Times New Roman"/>
      <w:sz w:val="28"/>
      <w:szCs w:val="28"/>
    </w:rPr>
  </w:style>
  <w:style w:type="paragraph" w:customStyle="1" w:styleId="35">
    <w:name w:val="正文3"/>
    <w:qFormat/>
    <w:pPr>
      <w:widowControl w:val="0"/>
      <w:adjustRightInd w:val="0"/>
      <w:spacing w:line="360" w:lineRule="auto"/>
      <w:ind w:firstLine="561"/>
      <w:jc w:val="both"/>
      <w:textAlignment w:val="baseline"/>
    </w:pPr>
    <w:rPr>
      <w:rFonts w:ascii="宋体"/>
      <w:sz w:val="28"/>
    </w:rPr>
  </w:style>
  <w:style w:type="paragraph" w:customStyle="1" w:styleId="yuCharChar">
    <w:name w:val="正文yu Char Char"/>
    <w:basedOn w:val="30"/>
    <w:qFormat/>
    <w:pPr>
      <w:ind w:firstLineChars="192" w:firstLine="538"/>
      <w:jc w:val="both"/>
    </w:pPr>
    <w:rPr>
      <w:sz w:val="28"/>
      <w:szCs w:val="2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12">
    <w:name w:val="正文文本缩进 312"/>
    <w:basedOn w:val="a0"/>
    <w:qFormat/>
    <w:pPr>
      <w:overflowPunct w:val="0"/>
      <w:autoSpaceDE w:val="0"/>
      <w:autoSpaceDN w:val="0"/>
      <w:adjustRightInd w:val="0"/>
      <w:spacing w:before="120" w:after="120" w:line="360" w:lineRule="auto"/>
      <w:ind w:firstLine="539"/>
      <w:textAlignment w:val="baseline"/>
    </w:pPr>
    <w:rPr>
      <w:rFonts w:ascii="宋体" w:eastAsia="宋体" w:hAnsi="Times New Roman" w:cs="Times New Roman"/>
      <w:sz w:val="28"/>
      <w:szCs w:val="20"/>
    </w:rPr>
  </w:style>
  <w:style w:type="paragraph" w:customStyle="1" w:styleId="xl195">
    <w:name w:val="xl19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p0">
    <w:name w:val="p0"/>
    <w:basedOn w:val="a0"/>
    <w:qFormat/>
    <w:pPr>
      <w:widowControl/>
    </w:pPr>
    <w:rPr>
      <w:rFonts w:ascii="Times New Roman" w:eastAsia="宋体" w:hAnsi="Times New Roman" w:cs="Times New Roman"/>
      <w:kern w:val="0"/>
      <w:szCs w:val="21"/>
    </w:rPr>
  </w:style>
  <w:style w:type="paragraph" w:customStyle="1" w:styleId="font9">
    <w:name w:val="font9"/>
    <w:basedOn w:val="a0"/>
    <w:qFormat/>
    <w:pPr>
      <w:widowControl/>
      <w:spacing w:before="100" w:beforeAutospacing="1" w:after="100" w:afterAutospacing="1"/>
      <w:jc w:val="left"/>
    </w:pPr>
    <w:rPr>
      <w:rFonts w:ascii="Times New Roman" w:eastAsia="宋体" w:hAnsi="Times New Roman" w:cs="Times New Roman"/>
      <w:b/>
      <w:bCs/>
      <w:color w:val="000000"/>
      <w:kern w:val="0"/>
      <w:sz w:val="18"/>
      <w:szCs w:val="18"/>
    </w:rPr>
  </w:style>
  <w:style w:type="paragraph" w:customStyle="1" w:styleId="CharCharCharCharCharCharCharCharCharCharCharCharCharCharChar">
    <w:name w:val="Char Char Char Char Char Char Char Char Char Char Char Char Char Char Char"/>
    <w:basedOn w:val="a0"/>
    <w:qFormat/>
    <w:rPr>
      <w:rFonts w:ascii="Tahoma" w:eastAsia="宋体" w:hAnsi="Tahoma" w:cs="Times New Roman"/>
      <w:sz w:val="24"/>
      <w:szCs w:val="20"/>
    </w:rPr>
  </w:style>
  <w:style w:type="paragraph" w:customStyle="1" w:styleId="xl104">
    <w:name w:val="xl104"/>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05">
    <w:name w:val="xl10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16"/>
      <w:szCs w:val="16"/>
    </w:rPr>
  </w:style>
  <w:style w:type="paragraph" w:customStyle="1" w:styleId="Style83">
    <w:name w:val="_Style 83"/>
    <w:basedOn w:val="a0"/>
    <w:next w:val="a0"/>
    <w:uiPriority w:val="60"/>
    <w:qFormat/>
    <w:rPr>
      <w:rFonts w:ascii="Calibri" w:eastAsia="宋体" w:hAnsi="Calibri" w:cs="Times New Roman"/>
      <w:color w:val="365F91"/>
      <w:sz w:val="22"/>
    </w:rPr>
  </w:style>
  <w:style w:type="paragraph" w:customStyle="1" w:styleId="xl328">
    <w:name w:val="xl32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62">
    <w:name w:val="样式6"/>
    <w:basedOn w:val="a0"/>
    <w:qFormat/>
    <w:pPr>
      <w:tabs>
        <w:tab w:val="left" w:pos="1400"/>
      </w:tabs>
      <w:spacing w:after="120"/>
      <w:ind w:left="1400" w:hanging="420"/>
    </w:pPr>
    <w:rPr>
      <w:rFonts w:ascii="Times New Roman" w:eastAsia="楷体_GB2312" w:hAnsi="Times New Roman" w:cs="Times New Roman"/>
      <w:sz w:val="24"/>
      <w:szCs w:val="24"/>
    </w:rPr>
  </w:style>
  <w:style w:type="paragraph" w:customStyle="1" w:styleId="afff7">
    <w:name w:val="è"/>
    <w:basedOn w:val="a0"/>
    <w:qFormat/>
    <w:pPr>
      <w:autoSpaceDE w:val="0"/>
      <w:autoSpaceDN w:val="0"/>
      <w:adjustRightInd w:val="0"/>
      <w:jc w:val="left"/>
    </w:pPr>
    <w:rPr>
      <w:rFonts w:ascii="宋体" w:eastAsia="宋体" w:hAnsi="Times New Roman" w:cs="Times New Roman"/>
      <w:kern w:val="0"/>
      <w:sz w:val="24"/>
      <w:szCs w:val="24"/>
    </w:rPr>
  </w:style>
  <w:style w:type="paragraph" w:customStyle="1" w:styleId="tc">
    <w:name w:val="tc"/>
    <w:basedOn w:val="a0"/>
    <w:qFormat/>
    <w:pPr>
      <w:widowControl/>
      <w:spacing w:before="30"/>
      <w:jc w:val="center"/>
    </w:pPr>
    <w:rPr>
      <w:rFonts w:ascii="黑体" w:eastAsia="黑体" w:hAnsi="宋体" w:cs="Times New Roman"/>
      <w:color w:val="000000"/>
      <w:kern w:val="0"/>
      <w:sz w:val="36"/>
      <w:szCs w:val="36"/>
    </w:rPr>
  </w:style>
  <w:style w:type="paragraph" w:customStyle="1" w:styleId="font14">
    <w:name w:val="font14"/>
    <w:basedOn w:val="a0"/>
    <w:qFormat/>
    <w:pPr>
      <w:widowControl/>
      <w:spacing w:before="100" w:beforeAutospacing="1" w:after="100" w:afterAutospacing="1"/>
      <w:jc w:val="left"/>
    </w:pPr>
    <w:rPr>
      <w:rFonts w:ascii="Arial Narrow" w:eastAsia="宋体" w:hAnsi="Arial Narrow" w:cs="宋体"/>
      <w:b/>
      <w:bCs/>
      <w:color w:val="000000"/>
      <w:kern w:val="0"/>
      <w:sz w:val="32"/>
      <w:szCs w:val="32"/>
    </w:rPr>
  </w:style>
  <w:style w:type="paragraph" w:customStyle="1" w:styleId="2d">
    <w:name w:val="纯文本2"/>
    <w:basedOn w:val="a0"/>
    <w:qFormat/>
    <w:pPr>
      <w:overflowPunct w:val="0"/>
      <w:autoSpaceDE w:val="0"/>
      <w:autoSpaceDN w:val="0"/>
      <w:adjustRightInd w:val="0"/>
      <w:textAlignment w:val="baseline"/>
    </w:pPr>
    <w:rPr>
      <w:rFonts w:ascii="宋体" w:eastAsia="宋体" w:hAnsi="Times New Roman" w:cs="Times New Roman"/>
      <w:sz w:val="24"/>
      <w:szCs w:val="20"/>
    </w:rPr>
  </w:style>
  <w:style w:type="paragraph" w:customStyle="1" w:styleId="xl56">
    <w:name w:val="xl56"/>
    <w:basedOn w:val="a0"/>
    <w:qFormat/>
    <w:pPr>
      <w:widowControl/>
      <w:spacing w:before="100" w:beforeAutospacing="1" w:after="100" w:afterAutospacing="1"/>
      <w:jc w:val="right"/>
      <w:textAlignment w:val="center"/>
    </w:pPr>
    <w:rPr>
      <w:rFonts w:ascii="宋体" w:eastAsia="宋体" w:hAnsi="宋体" w:cs="Times New Roman"/>
      <w:b/>
      <w:bCs/>
      <w:kern w:val="0"/>
      <w:sz w:val="24"/>
      <w:szCs w:val="24"/>
    </w:rPr>
  </w:style>
  <w:style w:type="paragraph" w:customStyle="1" w:styleId="xl335">
    <w:name w:val="xl3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16"/>
      <w:szCs w:val="16"/>
    </w:rPr>
  </w:style>
  <w:style w:type="paragraph" w:customStyle="1" w:styleId="l18">
    <w:name w:val="l18"/>
    <w:basedOn w:val="a0"/>
    <w:qFormat/>
    <w:pPr>
      <w:widowControl/>
      <w:spacing w:before="100" w:beforeAutospacing="1" w:after="100" w:afterAutospacing="1"/>
      <w:jc w:val="left"/>
    </w:pPr>
    <w:rPr>
      <w:rFonts w:ascii="宋体" w:eastAsia="宋体" w:hAnsi="宋体" w:cs="Courier New"/>
      <w:color w:val="000000"/>
      <w:kern w:val="0"/>
      <w:sz w:val="14"/>
      <w:szCs w:val="14"/>
    </w:rPr>
  </w:style>
  <w:style w:type="paragraph" w:customStyle="1" w:styleId="36">
    <w:name w:val="标题3"/>
    <w:basedOn w:val="a0"/>
    <w:qFormat/>
    <w:pPr>
      <w:tabs>
        <w:tab w:val="left" w:leader="middleDot" w:pos="7560"/>
      </w:tabs>
      <w:spacing w:line="360" w:lineRule="auto"/>
    </w:pPr>
    <w:rPr>
      <w:rFonts w:ascii="黑体" w:eastAsia="黑体" w:hAnsi="Times New Roman" w:cs="Times New Roman"/>
      <w:sz w:val="28"/>
      <w:szCs w:val="20"/>
    </w:rPr>
  </w:style>
  <w:style w:type="paragraph" w:customStyle="1" w:styleId="120">
    <w:name w:val="正文文本缩进12"/>
    <w:basedOn w:val="a0"/>
    <w:qFormat/>
    <w:pPr>
      <w:tabs>
        <w:tab w:val="left" w:pos="1400"/>
      </w:tabs>
      <w:spacing w:before="156" w:after="156" w:line="520" w:lineRule="exact"/>
      <w:ind w:firstLine="480"/>
    </w:pPr>
    <w:rPr>
      <w:rFonts w:ascii="Times New Roman" w:eastAsia="仿宋_GB2312" w:hAnsi="Times New Roman" w:cs="Times New Roman"/>
      <w:sz w:val="28"/>
      <w:szCs w:val="28"/>
    </w:rPr>
  </w:style>
  <w:style w:type="paragraph" w:customStyle="1" w:styleId="CharCharChar1Char1">
    <w:name w:val="Char Char Char1 Char1"/>
    <w:basedOn w:val="a0"/>
    <w:qFormat/>
    <w:rPr>
      <w:rFonts w:ascii="Tahoma" w:eastAsia="宋体" w:hAnsi="Tahoma" w:cs="Times New Roman"/>
      <w:sz w:val="24"/>
      <w:szCs w:val="20"/>
    </w:rPr>
  </w:style>
  <w:style w:type="paragraph" w:customStyle="1" w:styleId="xl22">
    <w:name w:val="xl22"/>
    <w:basedOn w:val="a0"/>
    <w:qFormat/>
    <w:pPr>
      <w:widowControl/>
      <w:pBdr>
        <w:top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b/>
      <w:bCs/>
      <w:kern w:val="0"/>
      <w:szCs w:val="21"/>
    </w:rPr>
  </w:style>
  <w:style w:type="paragraph" w:customStyle="1" w:styleId="xl361">
    <w:name w:val="xl36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367">
    <w:name w:val="xl367"/>
    <w:basedOn w:val="a0"/>
    <w:qFormat/>
    <w:pPr>
      <w:widowControl/>
      <w:spacing w:before="100" w:beforeAutospacing="1" w:after="100" w:afterAutospacing="1"/>
      <w:jc w:val="center"/>
    </w:pPr>
    <w:rPr>
      <w:rFonts w:ascii="宋体" w:eastAsia="宋体" w:hAnsi="宋体" w:cs="宋体"/>
      <w:kern w:val="0"/>
      <w:sz w:val="20"/>
      <w:szCs w:val="20"/>
    </w:rPr>
  </w:style>
  <w:style w:type="paragraph" w:customStyle="1" w:styleId="PlainText1">
    <w:name w:val="Plain Text1"/>
    <w:basedOn w:val="a0"/>
    <w:qFormat/>
    <w:pPr>
      <w:overflowPunct w:val="0"/>
      <w:autoSpaceDE w:val="0"/>
      <w:autoSpaceDN w:val="0"/>
      <w:adjustRightInd w:val="0"/>
      <w:textAlignment w:val="baseline"/>
    </w:pPr>
    <w:rPr>
      <w:rFonts w:ascii="宋体" w:eastAsia="宋体" w:hAnsi="Times New Roman" w:cs="Times New Roman"/>
      <w:szCs w:val="20"/>
    </w:rPr>
  </w:style>
  <w:style w:type="paragraph" w:customStyle="1" w:styleId="dd">
    <w:name w:val="dd"/>
    <w:basedOn w:val="a0"/>
    <w:qFormat/>
    <w:pPr>
      <w:autoSpaceDE w:val="0"/>
      <w:autoSpaceDN w:val="0"/>
      <w:adjustRightInd w:val="0"/>
      <w:ind w:firstLine="525"/>
    </w:pPr>
    <w:rPr>
      <w:rFonts w:ascii="宋体" w:eastAsia="宋体" w:hAnsi="Times New Roman" w:cs="Times New Roman"/>
      <w:kern w:val="0"/>
      <w:sz w:val="24"/>
      <w:szCs w:val="20"/>
    </w:rPr>
  </w:style>
  <w:style w:type="paragraph" w:customStyle="1" w:styleId="xl314">
    <w:name w:val="xl3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font12">
    <w:name w:val="font12"/>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f8">
    <w:name w:val="表格标题"/>
    <w:basedOn w:val="a0"/>
    <w:qFormat/>
    <w:pPr>
      <w:spacing w:before="240" w:after="240" w:line="360" w:lineRule="atLeast"/>
      <w:jc w:val="center"/>
    </w:pPr>
    <w:rPr>
      <w:rFonts w:ascii="Garamond" w:eastAsia="仿宋_GB2312" w:hAnsi="Garamond" w:cs="Times New Roman"/>
      <w:b/>
      <w:sz w:val="30"/>
      <w:szCs w:val="20"/>
    </w:rPr>
  </w:style>
  <w:style w:type="paragraph" w:customStyle="1" w:styleId="xl364">
    <w:name w:val="xl36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1e">
    <w:name w:val="1"/>
    <w:basedOn w:val="a0"/>
    <w:next w:val="af7"/>
    <w:qFormat/>
    <w:rPr>
      <w:rFonts w:ascii="Times New Roman" w:eastAsia="宋体" w:hAnsi="Times New Roman" w:cs="Times New Roman"/>
      <w:sz w:val="24"/>
      <w:szCs w:val="24"/>
    </w:rPr>
  </w:style>
  <w:style w:type="paragraph" w:customStyle="1" w:styleId="311">
    <w:name w:val="正文文本缩进 311"/>
    <w:basedOn w:val="a0"/>
    <w:qFormat/>
    <w:pPr>
      <w:overflowPunct w:val="0"/>
      <w:autoSpaceDE w:val="0"/>
      <w:autoSpaceDN w:val="0"/>
      <w:adjustRightInd w:val="0"/>
      <w:spacing w:before="120" w:after="120" w:line="360" w:lineRule="auto"/>
      <w:ind w:firstLine="539"/>
      <w:textAlignment w:val="baseline"/>
    </w:pPr>
    <w:rPr>
      <w:rFonts w:ascii="宋体" w:eastAsia="宋体" w:hAnsi="Times New Roman" w:cs="Times New Roman"/>
      <w:sz w:val="28"/>
      <w:szCs w:val="20"/>
    </w:rPr>
  </w:style>
  <w:style w:type="paragraph" w:customStyle="1" w:styleId="CharCharCharChar2">
    <w:name w:val="Char Char Char Char2"/>
    <w:basedOn w:val="a0"/>
    <w:qFormat/>
    <w:rPr>
      <w:rFonts w:ascii="Tahoma" w:eastAsia="宋体" w:hAnsi="Tahoma" w:cs="Times New Roman"/>
      <w:sz w:val="24"/>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kern w:val="0"/>
      <w:sz w:val="16"/>
      <w:szCs w:val="16"/>
    </w:rPr>
  </w:style>
  <w:style w:type="paragraph" w:customStyle="1" w:styleId="table">
    <w:name w:val="table"/>
    <w:basedOn w:val="a0"/>
    <w:qFormat/>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xl345">
    <w:name w:val="xl3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xl326">
    <w:name w:val="xl32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CharCharChar">
    <w:name w:val="Char Char Char Char Char Char Char Char Char Char"/>
    <w:basedOn w:val="a0"/>
    <w:qFormat/>
    <w:rPr>
      <w:rFonts w:ascii="Tahoma" w:eastAsia="宋体" w:hAnsi="Tahoma" w:cs="Times New Roman"/>
      <w:sz w:val="24"/>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rialNarrow">
    <w:name w:val="正文 + (西文) Arial Narrow"/>
    <w:basedOn w:val="a0"/>
    <w:qFormat/>
    <w:pPr>
      <w:tabs>
        <w:tab w:val="left" w:pos="720"/>
      </w:tabs>
      <w:adjustRightInd w:val="0"/>
      <w:snapToGrid w:val="0"/>
      <w:spacing w:line="300" w:lineRule="auto"/>
      <w:ind w:firstLine="567"/>
    </w:pPr>
    <w:rPr>
      <w:rFonts w:ascii="Arial Narrow" w:eastAsia="仿宋_GB2312" w:hAnsi="Arial Narrow" w:cs="Times New Roman"/>
      <w:sz w:val="28"/>
      <w:szCs w:val="20"/>
    </w:rPr>
  </w:style>
  <w:style w:type="paragraph" w:customStyle="1" w:styleId="afff9">
    <w:name w:val="总标题"/>
    <w:basedOn w:val="a0"/>
    <w:qFormat/>
    <w:pPr>
      <w:adjustRightInd w:val="0"/>
      <w:spacing w:line="318" w:lineRule="atLeast"/>
      <w:ind w:firstLine="567"/>
      <w:jc w:val="center"/>
      <w:textAlignment w:val="baseline"/>
    </w:pPr>
    <w:rPr>
      <w:rFonts w:ascii="昆仑粗隶书" w:eastAsia="昆仑粗隶书" w:hAnsi="Times New Roman" w:cs="Times New Roman"/>
      <w:b/>
      <w:kern w:val="0"/>
      <w:sz w:val="52"/>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kern w:val="0"/>
      <w:sz w:val="20"/>
      <w:szCs w:val="20"/>
    </w:rPr>
  </w:style>
  <w:style w:type="paragraph" w:customStyle="1" w:styleId="xl94">
    <w:name w:val="xl94"/>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53">
    <w:name w:val="xl15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宋体" w:hAnsi="Arial Unicode MS" w:cs="Times New Roman"/>
      <w:b/>
      <w:bCs/>
      <w:kern w:val="0"/>
      <w:sz w:val="24"/>
      <w:szCs w:val="24"/>
    </w:rPr>
  </w:style>
  <w:style w:type="paragraph" w:customStyle="1" w:styleId="xl351">
    <w:name w:val="xl351"/>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107">
    <w:name w:val="xl107"/>
    <w:basedOn w:val="a0"/>
    <w:qFormat/>
    <w:pPr>
      <w:widowControl/>
      <w:pBdr>
        <w:bottom w:val="single" w:sz="8" w:space="0" w:color="auto"/>
      </w:pBdr>
      <w:spacing w:before="100" w:beforeAutospacing="1" w:after="100" w:afterAutospacing="1"/>
      <w:jc w:val="center"/>
    </w:pPr>
    <w:rPr>
      <w:rFonts w:ascii="Arial Narrow" w:eastAsia="宋体" w:hAnsi="Arial Narrow" w:cs="宋体"/>
      <w:b/>
      <w:bCs/>
      <w:color w:val="000000"/>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37">
    <w:name w:val="xl3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0">
    <w:name w:val="纯文本11"/>
    <w:basedOn w:val="a0"/>
    <w:qFormat/>
    <w:pPr>
      <w:overflowPunct w:val="0"/>
      <w:autoSpaceDE w:val="0"/>
      <w:autoSpaceDN w:val="0"/>
      <w:adjustRightInd w:val="0"/>
      <w:textAlignment w:val="baseline"/>
    </w:pPr>
    <w:rPr>
      <w:rFonts w:ascii="宋体" w:eastAsia="宋体" w:hAnsi="Times New Roman" w:cs="Times New Roman"/>
      <w:sz w:val="24"/>
      <w:szCs w:val="20"/>
    </w:rPr>
  </w:style>
  <w:style w:type="paragraph" w:customStyle="1" w:styleId="xl51">
    <w:name w:val="xl51"/>
    <w:basedOn w:val="a0"/>
    <w:qFormat/>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1f">
    <w:name w:val="正文1"/>
    <w:basedOn w:val="a0"/>
    <w:qFormat/>
    <w:pPr>
      <w:spacing w:before="120" w:after="120"/>
    </w:pPr>
    <w:rPr>
      <w:rFonts w:ascii="宋体" w:eastAsia="黑体" w:hAnsi="Courier New" w:cs="Times New Roman"/>
      <w:sz w:val="36"/>
      <w:szCs w:val="20"/>
    </w:rPr>
  </w:style>
  <w:style w:type="paragraph" w:customStyle="1" w:styleId="xl333">
    <w:name w:val="xl3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1077">
    <w:name w:val="xl1077"/>
    <w:basedOn w:val="a0"/>
    <w:qFormat/>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37">
    <w:name w:val="3"/>
    <w:basedOn w:val="a0"/>
    <w:next w:val="af7"/>
    <w:qFormat/>
    <w:pPr>
      <w:widowControl/>
      <w:spacing w:before="100" w:beforeAutospacing="1" w:after="100" w:afterAutospacing="1"/>
      <w:jc w:val="left"/>
    </w:pPr>
    <w:rPr>
      <w:rFonts w:ascii="宋体" w:eastAsia="宋体" w:hAnsi="宋体" w:cs="宋体"/>
      <w:kern w:val="0"/>
      <w:sz w:val="24"/>
      <w:szCs w:val="24"/>
    </w:rPr>
  </w:style>
  <w:style w:type="paragraph" w:customStyle="1" w:styleId="21215Char">
    <w:name w:val="样式 样式 样式 样式 首行缩进:  2 字符1 + 首行缩进:  2 字符 + 行距: 1.5 倍行距 Char + 首行缩进..."/>
    <w:basedOn w:val="a0"/>
    <w:qFormat/>
    <w:pPr>
      <w:spacing w:line="360" w:lineRule="auto"/>
      <w:ind w:firstLineChars="200" w:firstLine="560"/>
    </w:pPr>
    <w:rPr>
      <w:rFonts w:ascii="Times New Roman" w:eastAsia="宋体" w:hAnsi="Times New Roman" w:cs="Times New Roman"/>
      <w:sz w:val="28"/>
      <w:szCs w:val="28"/>
    </w:rPr>
  </w:style>
  <w:style w:type="paragraph" w:customStyle="1" w:styleId="font16">
    <w:name w:val="font16"/>
    <w:basedOn w:val="a0"/>
    <w:qFormat/>
    <w:pPr>
      <w:widowControl/>
      <w:spacing w:before="100" w:beforeAutospacing="1" w:after="100" w:afterAutospacing="1"/>
      <w:jc w:val="left"/>
    </w:pPr>
    <w:rPr>
      <w:rFonts w:ascii="Arial Narrow" w:eastAsia="宋体" w:hAnsi="Arial Narrow" w:cs="宋体"/>
      <w:color w:val="000000"/>
      <w:kern w:val="0"/>
      <w:sz w:val="24"/>
      <w:szCs w:val="24"/>
    </w:rPr>
  </w:style>
  <w:style w:type="paragraph" w:customStyle="1" w:styleId="font15">
    <w:name w:val="font15"/>
    <w:basedOn w:val="a0"/>
    <w:qFormat/>
    <w:pPr>
      <w:widowControl/>
      <w:spacing w:before="100" w:beforeAutospacing="1" w:after="100" w:afterAutospacing="1"/>
      <w:jc w:val="left"/>
    </w:pPr>
    <w:rPr>
      <w:rFonts w:ascii="仿宋_GB2312" w:eastAsia="仿宋_GB2312" w:hAnsi="宋体" w:cs="宋体"/>
      <w:b/>
      <w:bCs/>
      <w:color w:val="000000"/>
      <w:kern w:val="0"/>
      <w:sz w:val="32"/>
      <w:szCs w:val="32"/>
    </w:rPr>
  </w:style>
  <w:style w:type="paragraph" w:customStyle="1" w:styleId="xl347">
    <w:name w:val="xl347"/>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f0">
    <w:name w:val="日期1"/>
    <w:basedOn w:val="a0"/>
    <w:next w:val="a0"/>
    <w:qFormat/>
    <w:pPr>
      <w:overflowPunct w:val="0"/>
      <w:autoSpaceDE w:val="0"/>
      <w:autoSpaceDN w:val="0"/>
      <w:adjustRightInd w:val="0"/>
      <w:textAlignment w:val="baseline"/>
    </w:pPr>
    <w:rPr>
      <w:rFonts w:ascii="宋体" w:eastAsia="宋体" w:hAnsi="Times New Roman" w:cs="Times New Roman"/>
      <w:sz w:val="28"/>
      <w:szCs w:val="20"/>
    </w:rPr>
  </w:style>
  <w:style w:type="paragraph" w:customStyle="1" w:styleId="CharCharCharCharCharCharCharCharCharCharCharCharCharCharCharChar">
    <w:name w:val="Char Char Char Char Char Char Char Char Char Char Char Char Char Char Char Char"/>
    <w:basedOn w:val="a0"/>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44">
    <w:name w:val="xl3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23">
    <w:name w:val="xl32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340">
    <w:name w:val="xl3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6"/>
      <w:szCs w:val="16"/>
    </w:rPr>
  </w:style>
  <w:style w:type="paragraph" w:customStyle="1" w:styleId="111">
    <w:name w:val="日期11"/>
    <w:basedOn w:val="a0"/>
    <w:next w:val="a0"/>
    <w:qFormat/>
    <w:pPr>
      <w:overflowPunct w:val="0"/>
      <w:autoSpaceDE w:val="0"/>
      <w:autoSpaceDN w:val="0"/>
      <w:adjustRightInd w:val="0"/>
      <w:textAlignment w:val="baseline"/>
    </w:pPr>
    <w:rPr>
      <w:rFonts w:ascii="宋体" w:eastAsia="宋体" w:hAnsi="Times New Roman" w:cs="Times New Roman"/>
      <w:sz w:val="28"/>
      <w:szCs w:val="20"/>
    </w:rPr>
  </w:style>
  <w:style w:type="paragraph" w:customStyle="1" w:styleId="CharCharChar2">
    <w:name w:val="Char Char Char2"/>
    <w:basedOn w:val="a0"/>
    <w:qFormat/>
    <w:rPr>
      <w:rFonts w:ascii="Tahoma" w:eastAsia="宋体" w:hAnsi="Tahoma" w:cs="Times New Roman"/>
      <w:sz w:val="24"/>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4">
    <w:name w:val="xl7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2"/>
    </w:rPr>
  </w:style>
  <w:style w:type="paragraph" w:customStyle="1" w:styleId="xl342">
    <w:name w:val="xl3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5">
    <w:name w:val="xl5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65">
    <w:name w:val="xl365"/>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a">
    <w:name w:val="正"/>
    <w:basedOn w:val="a0"/>
    <w:qFormat/>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2e">
    <w:name w:val="正文2"/>
    <w:basedOn w:val="1f"/>
    <w:qFormat/>
    <w:pPr>
      <w:spacing w:line="360" w:lineRule="auto"/>
    </w:pPr>
    <w:rPr>
      <w:sz w:val="28"/>
    </w:rPr>
  </w:style>
  <w:style w:type="paragraph" w:customStyle="1" w:styleId="TableText">
    <w:name w:val="Table Text"/>
    <w:qFormat/>
    <w:pPr>
      <w:jc w:val="center"/>
    </w:pPr>
    <w:rPr>
      <w:snapToGrid w:val="0"/>
      <w:color w:val="000000"/>
      <w:sz w:val="22"/>
      <w:lang w:eastAsia="en-US"/>
    </w:rPr>
  </w:style>
  <w:style w:type="paragraph" w:customStyle="1" w:styleId="313">
    <w:name w:val="正文31"/>
    <w:qFormat/>
    <w:pPr>
      <w:widowControl w:val="0"/>
      <w:adjustRightInd w:val="0"/>
      <w:spacing w:line="360" w:lineRule="auto"/>
      <w:ind w:firstLine="561"/>
      <w:jc w:val="both"/>
      <w:textAlignment w:val="baseline"/>
    </w:pPr>
    <w:rPr>
      <w:rFonts w:ascii="宋体"/>
      <w:sz w:val="28"/>
    </w:rPr>
  </w:style>
  <w:style w:type="paragraph" w:customStyle="1" w:styleId="afffb">
    <w:name w:val="电信"/>
    <w:basedOn w:val="ae"/>
    <w:qFormat/>
    <w:pPr>
      <w:autoSpaceDE w:val="0"/>
      <w:autoSpaceDN w:val="0"/>
      <w:adjustRightInd w:val="0"/>
    </w:pPr>
    <w:rPr>
      <w:rFonts w:ascii="方正书宋简体" w:eastAsia="方正书宋简体" w:hAnsi="Times New Roman"/>
      <w:kern w:val="0"/>
      <w:sz w:val="28"/>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6">
    <w:name w:val="xl9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Char110">
    <w:name w:val="Char11"/>
    <w:basedOn w:val="a0"/>
    <w:qFormat/>
    <w:rPr>
      <w:rFonts w:ascii="Tahoma" w:eastAsia="宋体" w:hAnsi="Tahoma" w:cs="Times New Roman"/>
      <w:sz w:val="24"/>
      <w:szCs w:val="20"/>
    </w:rPr>
  </w:style>
  <w:style w:type="paragraph" w:customStyle="1" w:styleId="xl60">
    <w:name w:val="xl60"/>
    <w:basedOn w:val="a0"/>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90">
    <w:name w:val="xl190"/>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15">
    <w:name w:val="xl3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50">
    <w:name w:val="xl50"/>
    <w:basedOn w:val="a0"/>
    <w:qFormat/>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62">
    <w:name w:val="xl362"/>
    <w:basedOn w:val="a0"/>
    <w:qFormat/>
    <w:pPr>
      <w:widowControl/>
      <w:pBdr>
        <w:top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2f">
    <w:name w:val="2"/>
    <w:basedOn w:val="a0"/>
    <w:next w:val="af7"/>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缺省文本:2"/>
    <w:basedOn w:val="a0"/>
    <w:qFormat/>
    <w:pPr>
      <w:autoSpaceDE w:val="0"/>
      <w:autoSpaceDN w:val="0"/>
      <w:adjustRightInd w:val="0"/>
      <w:jc w:val="left"/>
    </w:pPr>
    <w:rPr>
      <w:rFonts w:ascii="Times New Roman" w:eastAsia="宋体" w:hAnsi="Times New Roman" w:cs="Times New Roman"/>
      <w:kern w:val="0"/>
      <w:sz w:val="24"/>
      <w:szCs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38">
    <w:name w:val="xl3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46">
    <w:name w:val="xl3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2111">
    <w:name w:val="正文文本 211"/>
    <w:basedOn w:val="a0"/>
    <w:qFormat/>
    <w:pPr>
      <w:overflowPunct w:val="0"/>
      <w:autoSpaceDE w:val="0"/>
      <w:autoSpaceDN w:val="0"/>
      <w:adjustRightInd w:val="0"/>
      <w:spacing w:line="400" w:lineRule="exact"/>
      <w:ind w:firstLine="482"/>
      <w:jc w:val="left"/>
      <w:textAlignment w:val="baseline"/>
    </w:pPr>
    <w:rPr>
      <w:rFonts w:ascii="宋体" w:eastAsia="宋体" w:hAnsi="Times New Roman" w:cs="Times New Roman"/>
      <w:kern w:val="0"/>
      <w:sz w:val="24"/>
      <w:szCs w:val="20"/>
    </w:rPr>
  </w:style>
  <w:style w:type="paragraph" w:customStyle="1" w:styleId="CharCharCharCharCharCharCharCharCharCharCharCharCharCharChar2">
    <w:name w:val="Char Char Char Char Char Char Char Char Char Char Char Char Char Char Char2"/>
    <w:basedOn w:val="a0"/>
    <w:qFormat/>
    <w:rPr>
      <w:rFonts w:ascii="Tahoma" w:eastAsia="宋体" w:hAnsi="Tahoma" w:cs="Times New Roman"/>
      <w:sz w:val="24"/>
      <w:szCs w:val="20"/>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2120">
    <w:name w:val="正文文本 212"/>
    <w:basedOn w:val="a0"/>
    <w:qFormat/>
    <w:pPr>
      <w:overflowPunct w:val="0"/>
      <w:autoSpaceDE w:val="0"/>
      <w:autoSpaceDN w:val="0"/>
      <w:adjustRightInd w:val="0"/>
      <w:spacing w:line="400" w:lineRule="exact"/>
      <w:ind w:firstLine="482"/>
      <w:jc w:val="left"/>
      <w:textAlignment w:val="baseline"/>
    </w:pPr>
    <w:rPr>
      <w:rFonts w:ascii="宋体" w:eastAsia="宋体" w:hAnsi="Times New Roman" w:cs="Times New Roman"/>
      <w:kern w:val="0"/>
      <w:sz w:val="24"/>
      <w:szCs w:val="20"/>
    </w:rPr>
  </w:style>
  <w:style w:type="paragraph" w:customStyle="1" w:styleId="1f1">
    <w:name w:val="×Ó±êÌâ1"/>
    <w:basedOn w:val="a0"/>
    <w:qFormat/>
    <w:pPr>
      <w:widowControl/>
      <w:tabs>
        <w:tab w:val="left" w:pos="595"/>
      </w:tabs>
      <w:overflowPunct w:val="0"/>
      <w:autoSpaceDE w:val="0"/>
      <w:autoSpaceDN w:val="0"/>
      <w:adjustRightInd w:val="0"/>
      <w:spacing w:after="140" w:line="360" w:lineRule="auto"/>
      <w:ind w:left="-383"/>
      <w:textAlignment w:val="baseline"/>
    </w:pPr>
    <w:rPr>
      <w:rFonts w:ascii="Arial Black" w:eastAsia="宋体" w:hAnsi="Arial Black" w:cs="Times New Roman"/>
      <w:b/>
      <w:kern w:val="0"/>
      <w:sz w:val="28"/>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16"/>
      <w:szCs w:val="16"/>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afffc">
    <w:name w:val="È"/>
    <w:qFormat/>
    <w:pPr>
      <w:overflowPunct w:val="0"/>
      <w:autoSpaceDE w:val="0"/>
      <w:autoSpaceDN w:val="0"/>
      <w:adjustRightInd w:val="0"/>
      <w:textAlignment w:val="baseline"/>
    </w:pPr>
    <w:rPr>
      <w:sz w:val="24"/>
    </w:rPr>
  </w:style>
  <w:style w:type="paragraph" w:customStyle="1" w:styleId="afffd">
    <w:name w:val="内部地址姓名"/>
    <w:basedOn w:val="a0"/>
    <w:qFormat/>
    <w:rPr>
      <w:rFonts w:ascii="Times New Roman" w:eastAsia="宋体" w:hAnsi="Times New Roman" w:cs="Times New Roman"/>
      <w:szCs w:val="24"/>
    </w:rPr>
  </w:style>
  <w:style w:type="paragraph" w:customStyle="1" w:styleId="xl350">
    <w:name w:val="xl350"/>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ParaChar">
    <w:name w:val="默认段落字体 Para Char"/>
    <w:basedOn w:val="a0"/>
    <w:next w:val="a0"/>
    <w:qFormat/>
    <w:rPr>
      <w:rFonts w:ascii="Times New Roman" w:eastAsia="宋体" w:hAnsi="Times New Roman" w:cs="Times New Roman"/>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358">
    <w:name w:val="xl35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343">
    <w:name w:val="xl3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8">
    <w:name w:val="xl108"/>
    <w:basedOn w:val="a0"/>
    <w:qFormat/>
    <w:pPr>
      <w:widowControl/>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356">
    <w:name w:val="xl35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82">
    <w:name w:val="8"/>
    <w:basedOn w:val="a0"/>
    <w:next w:val="22"/>
    <w:qFormat/>
    <w:pPr>
      <w:ind w:firstLine="540"/>
    </w:pPr>
    <w:rPr>
      <w:rFonts w:ascii="Arial Narrow" w:eastAsia="仿宋_GB2312" w:hAnsi="Arial Narrow" w:cs="Times New Roman"/>
      <w:sz w:val="28"/>
      <w:szCs w:val="28"/>
    </w:rPr>
  </w:style>
  <w:style w:type="paragraph" w:customStyle="1" w:styleId="xl65">
    <w:name w:val="xl65"/>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Char22">
    <w:name w:val="Char2"/>
    <w:basedOn w:val="a0"/>
    <w:qFormat/>
    <w:rPr>
      <w:rFonts w:ascii="Times New Roman" w:eastAsia="宋体" w:hAnsi="Times New Roman" w:cs="Times New Roman"/>
      <w:szCs w:val="24"/>
    </w:rPr>
  </w:style>
  <w:style w:type="paragraph" w:customStyle="1" w:styleId="xl360">
    <w:name w:val="xl3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CharCharCharChar">
    <w:name w:val="Char Char Char Char"/>
    <w:basedOn w:val="a0"/>
    <w:qFormat/>
    <w:rPr>
      <w:rFonts w:ascii="Tahoma" w:eastAsia="宋体" w:hAnsi="Tahoma" w:cs="Tahoma"/>
      <w:sz w:val="24"/>
      <w:szCs w:val="24"/>
    </w:rPr>
  </w:style>
  <w:style w:type="paragraph" w:customStyle="1" w:styleId="navbar">
    <w:name w:val="navbar"/>
    <w:basedOn w:val="a0"/>
    <w:qFormat/>
    <w:pPr>
      <w:widowControl/>
      <w:jc w:val="left"/>
    </w:pPr>
    <w:rPr>
      <w:rFonts w:ascii="宋体" w:eastAsia="宋体" w:hAnsi="宋体" w:cs="宋体"/>
      <w:kern w:val="0"/>
      <w:sz w:val="24"/>
      <w:szCs w:val="24"/>
    </w:rPr>
  </w:style>
  <w:style w:type="paragraph" w:customStyle="1" w:styleId="121">
    <w:name w:val="日期12"/>
    <w:basedOn w:val="a0"/>
    <w:next w:val="a0"/>
    <w:qFormat/>
    <w:pPr>
      <w:overflowPunct w:val="0"/>
      <w:autoSpaceDE w:val="0"/>
      <w:autoSpaceDN w:val="0"/>
      <w:adjustRightInd w:val="0"/>
      <w:textAlignment w:val="baseline"/>
    </w:pPr>
    <w:rPr>
      <w:rFonts w:ascii="宋体" w:eastAsia="宋体" w:hAnsi="Times New Roman" w:cs="Times New Roman"/>
      <w:sz w:val="28"/>
      <w:szCs w:val="20"/>
    </w:rPr>
  </w:style>
  <w:style w:type="paragraph" w:customStyle="1" w:styleId="xl99">
    <w:name w:val="xl9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363">
    <w:name w:val="xl3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afffe">
    <w:name w:val="缺省文本"/>
    <w:basedOn w:val="a0"/>
    <w:qFormat/>
    <w:pPr>
      <w:autoSpaceDE w:val="0"/>
      <w:autoSpaceDN w:val="0"/>
      <w:adjustRightInd w:val="0"/>
      <w:jc w:val="left"/>
    </w:pPr>
    <w:rPr>
      <w:rFonts w:ascii="Times New Roman" w:eastAsia="宋体" w:hAnsi="Times New Roman" w:cs="Times New Roman"/>
      <w:kern w:val="0"/>
      <w:sz w:val="24"/>
      <w:szCs w:val="24"/>
    </w:rPr>
  </w:style>
  <w:style w:type="paragraph" w:customStyle="1" w:styleId="xl198">
    <w:name w:val="xl198"/>
    <w:basedOn w:val="a0"/>
    <w:qFormat/>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font10">
    <w:name w:val="font10"/>
    <w:basedOn w:val="a0"/>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affff">
    <w:name w:val="文档正文"/>
    <w:basedOn w:val="a0"/>
    <w:qFormat/>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affff0">
    <w:name w:val="标准正文"/>
    <w:basedOn w:val="a0"/>
    <w:qFormat/>
    <w:pPr>
      <w:autoSpaceDE w:val="0"/>
      <w:autoSpaceDN w:val="0"/>
      <w:adjustRightInd w:val="0"/>
      <w:spacing w:line="360" w:lineRule="auto"/>
      <w:ind w:firstLineChars="200" w:firstLine="480"/>
    </w:pPr>
    <w:rPr>
      <w:rFonts w:ascii="Times New Roman" w:eastAsia="宋体" w:hAnsi="Times New Roman" w:cs="Times New Roman"/>
      <w:kern w:val="0"/>
      <w:sz w:val="24"/>
      <w:szCs w:val="24"/>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40">
    <w:name w:val="xl4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cs="Times New Roman"/>
      <w:color w:val="FFFFFF"/>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208">
    <w:name w:val="xl20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349">
    <w:name w:val="xl34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xl319">
    <w:name w:val="xl3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justify">
    <w:name w:val="justify"/>
    <w:basedOn w:val="a0"/>
    <w:qFormat/>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Char1CharCharChar">
    <w:name w:val="Char1 Char Char Char"/>
    <w:basedOn w:val="a0"/>
    <w:qFormat/>
    <w:rPr>
      <w:rFonts w:ascii="Tahoma" w:eastAsia="宋体" w:hAnsi="Tahoma" w:cs="Times New Roman"/>
      <w:sz w:val="24"/>
      <w:szCs w:val="20"/>
    </w:rPr>
  </w:style>
  <w:style w:type="paragraph" w:customStyle="1" w:styleId="xl29">
    <w:name w:val="xl29"/>
    <w:basedOn w:val="a0"/>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6"/>
      <w:szCs w:val="16"/>
    </w:rPr>
  </w:style>
  <w:style w:type="paragraph" w:customStyle="1" w:styleId="DecimalAligned">
    <w:name w:val="Decimal Aligned"/>
    <w:basedOn w:val="a0"/>
    <w:uiPriority w:val="40"/>
    <w:qFormat/>
    <w:pPr>
      <w:widowControl/>
      <w:tabs>
        <w:tab w:val="decimal" w:pos="360"/>
      </w:tabs>
      <w:spacing w:after="200" w:line="276" w:lineRule="auto"/>
      <w:jc w:val="left"/>
    </w:pPr>
    <w:rPr>
      <w:rFonts w:ascii="Calibri" w:eastAsia="宋体" w:hAnsi="Calibri" w:cs="Times New Roman"/>
      <w:kern w:val="0"/>
      <w:sz w:val="22"/>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affff1">
    <w:name w:val="中连页眉"/>
    <w:basedOn w:val="af2"/>
    <w:qFormat/>
    <w:pPr>
      <w:pBdr>
        <w:bottom w:val="threeDEngrave" w:sz="18" w:space="1" w:color="auto"/>
      </w:pBdr>
    </w:pPr>
    <w:rPr>
      <w:rFonts w:eastAsia="仿宋_GB2312"/>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03">
    <w:name w:val="xl103"/>
    <w:basedOn w:val="a0"/>
    <w:qFormat/>
    <w:pPr>
      <w:widowControl/>
      <w:pBdr>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affff2">
    <w:name w:val="大标题"/>
    <w:basedOn w:val="aa"/>
    <w:qFormat/>
    <w:pPr>
      <w:widowControl w:val="0"/>
      <w:spacing w:line="360" w:lineRule="auto"/>
      <w:jc w:val="both"/>
      <w:outlineLvl w:val="0"/>
    </w:pPr>
    <w:rPr>
      <w:rFonts w:ascii="仿宋_GB2312" w:eastAsia="仿宋_GB2312"/>
      <w:b/>
      <w:kern w:val="2"/>
      <w:sz w:val="24"/>
    </w:rPr>
  </w:style>
  <w:style w:type="paragraph" w:customStyle="1" w:styleId="affff3">
    <w:name w:val="È±Ê¡ÎÄ±¾"/>
    <w:basedOn w:val="a0"/>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xl331">
    <w:name w:val="xl331"/>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7">
    <w:name w:val="xl197"/>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1f2">
    <w:name w:val="缺省文本:1"/>
    <w:basedOn w:val="a0"/>
    <w:qFormat/>
    <w:pPr>
      <w:autoSpaceDE w:val="0"/>
      <w:autoSpaceDN w:val="0"/>
      <w:adjustRightInd w:val="0"/>
      <w:jc w:val="left"/>
    </w:pPr>
    <w:rPr>
      <w:rFonts w:ascii="Times New Roman" w:eastAsia="宋体" w:hAnsi="Times New Roman" w:cs="Times New Roman"/>
      <w:kern w:val="0"/>
      <w:sz w:val="24"/>
      <w:szCs w:val="24"/>
    </w:rPr>
  </w:style>
  <w:style w:type="paragraph" w:customStyle="1" w:styleId="213">
    <w:name w:val="正文文本 21"/>
    <w:basedOn w:val="a0"/>
    <w:qFormat/>
    <w:pPr>
      <w:overflowPunct w:val="0"/>
      <w:autoSpaceDE w:val="0"/>
      <w:autoSpaceDN w:val="0"/>
      <w:adjustRightInd w:val="0"/>
      <w:spacing w:line="400" w:lineRule="exact"/>
      <w:ind w:firstLine="482"/>
      <w:jc w:val="left"/>
      <w:textAlignment w:val="baseline"/>
    </w:pPr>
    <w:rPr>
      <w:rFonts w:ascii="宋体" w:eastAsia="宋体" w:hAnsi="Times New Roman" w:cs="Times New Roman"/>
      <w:kern w:val="0"/>
      <w:sz w:val="24"/>
      <w:szCs w:val="20"/>
    </w:rPr>
  </w:style>
  <w:style w:type="paragraph" w:customStyle="1" w:styleId="affff4">
    <w:name w:val="简单回函地址"/>
    <w:basedOn w:val="a0"/>
    <w:qFormat/>
    <w:rPr>
      <w:rFonts w:ascii="Times New Roman" w:eastAsia="宋体" w:hAnsi="Times New Roman" w:cs="Times New Roman"/>
      <w:szCs w:val="20"/>
    </w:rPr>
  </w:style>
  <w:style w:type="paragraph" w:customStyle="1" w:styleId="xl317">
    <w:name w:val="xl31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font13">
    <w:name w:val="font13"/>
    <w:basedOn w:val="a0"/>
    <w:qFormat/>
    <w:pPr>
      <w:widowControl/>
      <w:spacing w:before="100" w:beforeAutospacing="1" w:after="100" w:afterAutospacing="1"/>
      <w:jc w:val="left"/>
    </w:pPr>
    <w:rPr>
      <w:rFonts w:ascii="仿宋_GB2312" w:eastAsia="仿宋_GB2312" w:hAnsi="宋体" w:cs="宋体"/>
      <w:b/>
      <w:bCs/>
      <w:kern w:val="0"/>
      <w:sz w:val="18"/>
      <w:szCs w:val="18"/>
    </w:rPr>
  </w:style>
  <w:style w:type="paragraph" w:customStyle="1" w:styleId="font6">
    <w:name w:val="font6"/>
    <w:basedOn w:val="a0"/>
    <w:qFormat/>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b/>
      <w:bCs/>
      <w:kern w:val="0"/>
      <w:sz w:val="24"/>
      <w:szCs w:val="24"/>
    </w:rPr>
  </w:style>
  <w:style w:type="paragraph" w:customStyle="1" w:styleId="xl339">
    <w:name w:val="xl3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tablewide">
    <w:name w:val="table wide"/>
    <w:basedOn w:val="a0"/>
    <w:qFormat/>
    <w:pPr>
      <w:keepLines/>
      <w:widowControl/>
      <w:autoSpaceDE w:val="0"/>
      <w:autoSpaceDN w:val="0"/>
      <w:adjustRightInd w:val="0"/>
      <w:spacing w:before="40" w:after="40"/>
      <w:jc w:val="center"/>
      <w:textAlignment w:val="bottom"/>
    </w:pPr>
    <w:rPr>
      <w:rFonts w:ascii="宋体" w:eastAsia="宋体" w:hAnsi="Times New Roman" w:cs="Times New Roman"/>
      <w:kern w:val="0"/>
      <w:sz w:val="24"/>
      <w:szCs w:val="20"/>
    </w:rPr>
  </w:style>
  <w:style w:type="paragraph" w:customStyle="1" w:styleId="xl72">
    <w:name w:val="xl72"/>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4Char0">
    <w:name w:val="4 Char"/>
    <w:basedOn w:val="a0"/>
    <w:qFormat/>
    <w:rPr>
      <w:rFonts w:ascii="Tahoma" w:eastAsia="宋体" w:hAnsi="Tahoma" w:cs="Times New Roman"/>
      <w:sz w:val="24"/>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bCs/>
      <w:kern w:val="0"/>
      <w:sz w:val="16"/>
      <w:szCs w:val="16"/>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HTML1">
    <w:name w:val="HTML 预先格式化"/>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customStyle="1" w:styleId="xl62">
    <w:name w:val="xl62"/>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news">
    <w:name w:val="news"/>
    <w:basedOn w:val="a0"/>
    <w:qFormat/>
    <w:pPr>
      <w:widowControl/>
      <w:spacing w:before="100" w:beforeAutospacing="1" w:after="100" w:afterAutospacing="1" w:line="360" w:lineRule="atLeast"/>
      <w:jc w:val="left"/>
    </w:pPr>
    <w:rPr>
      <w:rFonts w:ascii="宋体" w:eastAsia="宋体" w:hAnsi="宋体" w:cs="Times New Roman"/>
      <w:kern w:val="0"/>
      <w:sz w:val="28"/>
      <w:szCs w:val="28"/>
    </w:rPr>
  </w:style>
  <w:style w:type="paragraph" w:customStyle="1" w:styleId="xl352">
    <w:name w:val="xl3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4">
    <w:name w:val="H4"/>
    <w:basedOn w:val="a0"/>
    <w:qFormat/>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title2">
    <w:name w:val="title2"/>
    <w:basedOn w:val="20"/>
    <w:qFormat/>
    <w:pPr>
      <w:jc w:val="both"/>
    </w:pPr>
    <w:rPr>
      <w:bCs/>
      <w:sz w:val="28"/>
      <w:szCs w:val="28"/>
    </w:rPr>
  </w:style>
  <w:style w:type="paragraph" w:customStyle="1" w:styleId="xl49">
    <w:name w:val="xl49"/>
    <w:basedOn w:val="a0"/>
    <w:qFormat/>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harCharChar1Char">
    <w:name w:val="Char Char Char1 Char"/>
    <w:basedOn w:val="a0"/>
    <w:qFormat/>
    <w:rPr>
      <w:rFonts w:ascii="Tahoma" w:eastAsia="宋体" w:hAnsi="Tahoma" w:cs="Times New Roman"/>
      <w:sz w:val="24"/>
      <w:szCs w:val="20"/>
    </w:rPr>
  </w:style>
  <w:style w:type="paragraph" w:customStyle="1" w:styleId="Parties">
    <w:name w:val="Parties"/>
    <w:basedOn w:val="a0"/>
    <w:qFormat/>
    <w:pPr>
      <w:widowControl/>
      <w:tabs>
        <w:tab w:val="left" w:pos="1106"/>
      </w:tabs>
      <w:spacing w:after="140" w:line="290" w:lineRule="auto"/>
      <w:ind w:left="1106" w:hanging="686"/>
    </w:pPr>
    <w:rPr>
      <w:rFonts w:ascii="Arial" w:eastAsia="宋体" w:hAnsi="Arial" w:cs="Times New Roman"/>
      <w:kern w:val="20"/>
      <w:sz w:val="20"/>
      <w:szCs w:val="24"/>
      <w:lang w:eastAsia="en-US"/>
    </w:rPr>
  </w:style>
  <w:style w:type="paragraph" w:customStyle="1" w:styleId="xl216">
    <w:name w:val="xl216"/>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CharCharCharCharChar2">
    <w:name w:val="Char Char Char Char Char Char Char Char Char Char2"/>
    <w:basedOn w:val="a0"/>
    <w:qFormat/>
    <w:rPr>
      <w:rFonts w:ascii="Tahoma" w:eastAsia="宋体" w:hAnsi="Tahoma" w:cs="Times New Roman"/>
      <w:sz w:val="24"/>
      <w:szCs w:val="20"/>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210">
    <w:name w:val="xl21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318">
    <w:name w:val="xl3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1">
    <w:name w:val="彩色列表 - 强调文字颜色 11"/>
    <w:basedOn w:val="a0"/>
    <w:uiPriority w:val="34"/>
    <w:qFormat/>
    <w:pPr>
      <w:ind w:firstLineChars="200" w:firstLine="420"/>
    </w:pPr>
    <w:rPr>
      <w:rFonts w:ascii="Times New Roman" w:eastAsia="宋体" w:hAnsi="Times New Roman" w:cs="Times New Roman"/>
      <w:szCs w:val="24"/>
    </w:rPr>
  </w:style>
  <w:style w:type="paragraph" w:customStyle="1" w:styleId="xl332">
    <w:name w:val="xl3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H1">
    <w:name w:val="H1"/>
    <w:basedOn w:val="1"/>
    <w:qFormat/>
    <w:pPr>
      <w:widowControl/>
      <w:overflowPunct w:val="0"/>
      <w:autoSpaceDE w:val="0"/>
      <w:autoSpaceDN w:val="0"/>
      <w:spacing w:before="240" w:after="240" w:line="360" w:lineRule="atLeast"/>
      <w:ind w:right="57"/>
      <w:jc w:val="center"/>
      <w:outlineLvl w:val="9"/>
    </w:pPr>
    <w:rPr>
      <w:rFonts w:ascii="黑体"/>
      <w:b/>
      <w:kern w:val="0"/>
      <w:sz w:val="30"/>
      <w:lang w:val="en-US"/>
    </w:rPr>
  </w:style>
  <w:style w:type="paragraph" w:customStyle="1" w:styleId="yu">
    <w:name w:val="正文yu"/>
    <w:basedOn w:val="30"/>
    <w:qFormat/>
    <w:pPr>
      <w:ind w:firstLineChars="200" w:firstLine="560"/>
      <w:jc w:val="both"/>
    </w:pPr>
    <w:rPr>
      <w:rFonts w:ascii="Times New Roman" w:eastAsia="仿宋_GB2312" w:hAnsi="Times New Roman"/>
      <w:sz w:val="28"/>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affff5">
    <w:name w:val="图"/>
    <w:basedOn w:val="a0"/>
    <w:qFormat/>
    <w:pPr>
      <w:ind w:firstLineChars="200" w:firstLine="420"/>
    </w:pPr>
    <w:rPr>
      <w:rFonts w:ascii="Times New Roman" w:eastAsia="宋体" w:hAnsi="Times New Roman" w:cs="Times New Roman"/>
      <w:szCs w:val="24"/>
    </w:rPr>
  </w:style>
  <w:style w:type="paragraph" w:customStyle="1" w:styleId="220">
    <w:name w:val="正文文本缩进 22"/>
    <w:basedOn w:val="a0"/>
    <w:qFormat/>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paragraph" w:customStyle="1" w:styleId="font8">
    <w:name w:val="font8"/>
    <w:basedOn w:val="a0"/>
    <w:qFormat/>
    <w:pPr>
      <w:widowControl/>
      <w:spacing w:before="100" w:beforeAutospacing="1" w:after="100" w:afterAutospacing="1"/>
      <w:jc w:val="left"/>
    </w:pPr>
    <w:rPr>
      <w:rFonts w:ascii="宋体" w:eastAsia="宋体" w:hAnsi="宋体" w:cs="Times New Roman" w:hint="eastAsia"/>
      <w:b/>
      <w:bCs/>
      <w:color w:val="000000"/>
      <w:kern w:val="0"/>
      <w:sz w:val="18"/>
      <w:szCs w:val="18"/>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TOC1">
    <w:name w:val="TOC 标题1"/>
    <w:basedOn w:val="1"/>
    <w:next w:val="a0"/>
    <w:uiPriority w:val="39"/>
    <w:qFormat/>
    <w:pPr>
      <w:widowControl/>
      <w:adjustRightInd/>
      <w:spacing w:before="480" w:after="0" w:line="276" w:lineRule="auto"/>
      <w:jc w:val="left"/>
      <w:textAlignment w:val="auto"/>
      <w:outlineLvl w:val="9"/>
    </w:pPr>
    <w:rPr>
      <w:rFonts w:ascii="Cambria" w:eastAsia="宋体" w:hAnsi="Cambria"/>
      <w:b/>
      <w:bCs/>
      <w:color w:val="365F91"/>
      <w:kern w:val="0"/>
      <w:sz w:val="28"/>
      <w:szCs w:val="28"/>
      <w:lang w:val="en-US"/>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24"/>
      <w:szCs w:val="24"/>
    </w:rPr>
  </w:style>
  <w:style w:type="paragraph" w:customStyle="1" w:styleId="44">
    <w:name w:val="封面4"/>
    <w:qFormat/>
    <w:pPr>
      <w:widowControl w:val="0"/>
      <w:adjustRightInd w:val="0"/>
      <w:spacing w:line="312" w:lineRule="atLeast"/>
      <w:jc w:val="center"/>
      <w:textAlignment w:val="baseline"/>
    </w:pPr>
    <w:rPr>
      <w:rFonts w:ascii="宋体"/>
      <w:sz w:val="21"/>
      <w:szCs w:val="21"/>
    </w:rPr>
  </w:style>
  <w:style w:type="paragraph" w:customStyle="1" w:styleId="xl98">
    <w:name w:val="xl9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8"/>
      <w:szCs w:val="18"/>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314">
    <w:name w:val="正文文本缩进 31"/>
    <w:basedOn w:val="a0"/>
    <w:qFormat/>
    <w:pPr>
      <w:overflowPunct w:val="0"/>
      <w:autoSpaceDE w:val="0"/>
      <w:autoSpaceDN w:val="0"/>
      <w:adjustRightInd w:val="0"/>
      <w:spacing w:before="120" w:after="120" w:line="360" w:lineRule="auto"/>
      <w:ind w:firstLine="539"/>
      <w:textAlignment w:val="baseline"/>
    </w:pPr>
    <w:rPr>
      <w:rFonts w:ascii="宋体" w:eastAsia="宋体" w:hAnsi="Times New Roman" w:cs="Times New Roman"/>
      <w:sz w:val="28"/>
      <w:szCs w:val="20"/>
    </w:rPr>
  </w:style>
  <w:style w:type="paragraph" w:customStyle="1" w:styleId="112">
    <w:name w:val="正文文本缩进11"/>
    <w:basedOn w:val="a0"/>
    <w:qFormat/>
    <w:pPr>
      <w:tabs>
        <w:tab w:val="left" w:pos="1400"/>
      </w:tabs>
      <w:spacing w:before="156" w:after="156" w:line="520" w:lineRule="exact"/>
      <w:ind w:firstLine="480"/>
    </w:pPr>
    <w:rPr>
      <w:rFonts w:ascii="Times New Roman" w:eastAsia="仿宋_GB2312" w:hAnsi="Times New Roman" w:cs="Times New Roman"/>
      <w:sz w:val="28"/>
      <w:szCs w:val="28"/>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2f1">
    <w:name w:val="样式 标题 2 + (中文) 黑体 四号 非加粗"/>
    <w:basedOn w:val="20"/>
    <w:qFormat/>
    <w:pPr>
      <w:spacing w:before="360" w:after="120"/>
      <w:jc w:val="both"/>
    </w:pPr>
    <w:rPr>
      <w:rFonts w:ascii="黑体" w:hAnsi="Times New Roman"/>
      <w:sz w:val="28"/>
    </w:rPr>
  </w:style>
  <w:style w:type="paragraph" w:customStyle="1" w:styleId="xl311">
    <w:name w:val="xl3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9">
    <w:name w:val="xl199"/>
    <w:basedOn w:val="a0"/>
    <w:qFormat/>
    <w:pPr>
      <w:widowControl/>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bCs/>
      <w:kern w:val="0"/>
      <w:sz w:val="16"/>
      <w:szCs w:val="16"/>
    </w:rPr>
  </w:style>
  <w:style w:type="paragraph" w:customStyle="1" w:styleId="315">
    <w:name w:val="网格表 31"/>
    <w:basedOn w:val="1"/>
    <w:next w:val="a0"/>
    <w:uiPriority w:val="39"/>
    <w:qFormat/>
    <w:pPr>
      <w:widowControl/>
      <w:adjustRightInd/>
      <w:spacing w:before="480" w:after="0" w:line="276" w:lineRule="auto"/>
      <w:jc w:val="left"/>
      <w:textAlignment w:val="auto"/>
      <w:outlineLvl w:val="9"/>
    </w:pPr>
    <w:rPr>
      <w:rFonts w:ascii="Cambria" w:eastAsia="宋体" w:hAnsi="Cambria"/>
      <w:b/>
      <w:bCs/>
      <w:color w:val="365F91"/>
      <w:kern w:val="0"/>
      <w:sz w:val="28"/>
      <w:szCs w:val="28"/>
      <w:lang w:val="en-US"/>
    </w:rPr>
  </w:style>
  <w:style w:type="paragraph" w:customStyle="1" w:styleId="xl203">
    <w:name w:val="xl20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2"/>
    </w:rPr>
  </w:style>
  <w:style w:type="paragraph" w:customStyle="1" w:styleId="xl204">
    <w:name w:val="xl204"/>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24"/>
      <w:szCs w:val="24"/>
    </w:rPr>
  </w:style>
  <w:style w:type="paragraph" w:customStyle="1" w:styleId="xl102">
    <w:name w:val="xl102"/>
    <w:basedOn w:val="a0"/>
    <w:qFormat/>
    <w:pPr>
      <w:widowControl/>
      <w:pBdr>
        <w:left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CharCharCharCharCharCharCharCharCharChar1">
    <w:name w:val="Char Char Char Char Char Char Char Char Char Char1"/>
    <w:basedOn w:val="a0"/>
    <w:qFormat/>
    <w:rPr>
      <w:rFonts w:ascii="Tahoma" w:eastAsia="宋体" w:hAnsi="Tahoma" w:cs="Times New Roman"/>
      <w:sz w:val="24"/>
      <w:szCs w:val="20"/>
    </w:rPr>
  </w:style>
  <w:style w:type="paragraph" w:customStyle="1" w:styleId="xl366">
    <w:name w:val="xl36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3">
    <w:name w:val="ÑùÊ½1"/>
    <w:basedOn w:val="a0"/>
    <w:qFormat/>
    <w:pPr>
      <w:overflowPunct w:val="0"/>
      <w:autoSpaceDE w:val="0"/>
      <w:autoSpaceDN w:val="0"/>
      <w:adjustRightInd w:val="0"/>
      <w:spacing w:line="360" w:lineRule="auto"/>
      <w:ind w:firstLine="540"/>
      <w:textAlignment w:val="baseline"/>
    </w:pPr>
    <w:rPr>
      <w:rFonts w:ascii="宋体" w:eastAsia="宋体" w:hAnsi="Times New Roman" w:cs="Times New Roman"/>
      <w:color w:val="0000FF"/>
      <w:sz w:val="18"/>
      <w:szCs w:val="20"/>
    </w:rPr>
  </w:style>
  <w:style w:type="paragraph" w:customStyle="1" w:styleId="Char14">
    <w:name w:val="Char1"/>
    <w:basedOn w:val="a0"/>
    <w:qFormat/>
    <w:rPr>
      <w:rFonts w:ascii="Tahoma" w:eastAsia="宋体" w:hAnsi="Tahoma" w:cs="Times New Roman"/>
      <w:sz w:val="24"/>
      <w:szCs w:val="20"/>
    </w:rPr>
  </w:style>
  <w:style w:type="paragraph" w:customStyle="1" w:styleId="xl215">
    <w:name w:val="xl2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宋体" w:hAnsi="Arial Narrow" w:cs="宋体"/>
      <w:kern w:val="0"/>
      <w:sz w:val="18"/>
      <w:szCs w:val="18"/>
    </w:rPr>
  </w:style>
  <w:style w:type="paragraph" w:customStyle="1" w:styleId="-31">
    <w:name w:val="浅色网格 - 强调文字颜色 31"/>
    <w:basedOn w:val="a0"/>
    <w:uiPriority w:val="34"/>
    <w:qFormat/>
    <w:pPr>
      <w:ind w:firstLineChars="200" w:firstLine="420"/>
    </w:pPr>
    <w:rPr>
      <w:rFonts w:ascii="Times New Roman" w:eastAsia="宋体" w:hAnsi="Times New Roman" w:cs="Times New Roman"/>
      <w:szCs w:val="24"/>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bCs/>
      <w:kern w:val="0"/>
      <w:sz w:val="16"/>
      <w:szCs w:val="16"/>
    </w:rPr>
  </w:style>
  <w:style w:type="paragraph" w:customStyle="1" w:styleId="xl63">
    <w:name w:val="xl6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151">
    <w:name w:val="样式 两端对齐 行距: 1.5 倍行距"/>
    <w:basedOn w:val="a0"/>
    <w:qFormat/>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4data">
    <w:name w:val="4data"/>
    <w:basedOn w:val="a2"/>
    <w:uiPriority w:val="99"/>
    <w:qFormat/>
  </w:style>
  <w:style w:type="character" w:customStyle="1" w:styleId="font111">
    <w:name w:val="font111"/>
    <w:basedOn w:val="a2"/>
    <w:qFormat/>
    <w:rPr>
      <w:rFonts w:ascii="宋体" w:eastAsia="宋体" w:hAnsi="宋体" w:cs="宋体" w:hint="eastAsia"/>
      <w:color w:val="000000"/>
      <w:sz w:val="23"/>
      <w:szCs w:val="23"/>
      <w:u w:val="none"/>
    </w:rPr>
  </w:style>
  <w:style w:type="character" w:customStyle="1" w:styleId="font121">
    <w:name w:val="font121"/>
    <w:basedOn w:val="a2"/>
    <w:qFormat/>
    <w:rPr>
      <w:rFonts w:ascii="Times New Roman" w:hAnsi="Times New Roman" w:cs="Times New Roman" w:hint="default"/>
      <w:color w:val="000000"/>
      <w:sz w:val="21"/>
      <w:szCs w:val="21"/>
      <w:u w:val="none"/>
      <w:vertAlign w:val="subscript"/>
    </w:rPr>
  </w:style>
  <w:style w:type="paragraph" w:customStyle="1" w:styleId="TableParagraph">
    <w:name w:val="Table Paragraph"/>
    <w:basedOn w:val="a0"/>
    <w:uiPriority w:val="1"/>
    <w:qFormat/>
    <w:rPr>
      <w:rFonts w:ascii="Arial Narrow" w:eastAsia="Arial Narrow" w:hAnsi="Arial Narrow" w:cs="Arial Narrow"/>
      <w:lang w:val="zh-CN" w:bidi="zh-CN"/>
    </w:rPr>
  </w:style>
  <w:style w:type="paragraph" w:customStyle="1" w:styleId="Style565">
    <w:name w:val="_Style 565"/>
    <w:basedOn w:val="a0"/>
    <w:next w:val="affc"/>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764">
      <w:bodyDiv w:val="1"/>
      <w:marLeft w:val="0"/>
      <w:marRight w:val="0"/>
      <w:marTop w:val="0"/>
      <w:marBottom w:val="0"/>
      <w:divBdr>
        <w:top w:val="none" w:sz="0" w:space="0" w:color="auto"/>
        <w:left w:val="none" w:sz="0" w:space="0" w:color="auto"/>
        <w:bottom w:val="none" w:sz="0" w:space="0" w:color="auto"/>
        <w:right w:val="none" w:sz="0" w:space="0" w:color="auto"/>
      </w:divBdr>
    </w:div>
    <w:div w:id="47149461">
      <w:bodyDiv w:val="1"/>
      <w:marLeft w:val="0"/>
      <w:marRight w:val="0"/>
      <w:marTop w:val="0"/>
      <w:marBottom w:val="0"/>
      <w:divBdr>
        <w:top w:val="none" w:sz="0" w:space="0" w:color="auto"/>
        <w:left w:val="none" w:sz="0" w:space="0" w:color="auto"/>
        <w:bottom w:val="none" w:sz="0" w:space="0" w:color="auto"/>
        <w:right w:val="none" w:sz="0" w:space="0" w:color="auto"/>
      </w:divBdr>
    </w:div>
    <w:div w:id="175123149">
      <w:bodyDiv w:val="1"/>
      <w:marLeft w:val="0"/>
      <w:marRight w:val="0"/>
      <w:marTop w:val="0"/>
      <w:marBottom w:val="0"/>
      <w:divBdr>
        <w:top w:val="none" w:sz="0" w:space="0" w:color="auto"/>
        <w:left w:val="none" w:sz="0" w:space="0" w:color="auto"/>
        <w:bottom w:val="none" w:sz="0" w:space="0" w:color="auto"/>
        <w:right w:val="none" w:sz="0" w:space="0" w:color="auto"/>
      </w:divBdr>
    </w:div>
    <w:div w:id="186867419">
      <w:bodyDiv w:val="1"/>
      <w:marLeft w:val="0"/>
      <w:marRight w:val="0"/>
      <w:marTop w:val="0"/>
      <w:marBottom w:val="0"/>
      <w:divBdr>
        <w:top w:val="none" w:sz="0" w:space="0" w:color="auto"/>
        <w:left w:val="none" w:sz="0" w:space="0" w:color="auto"/>
        <w:bottom w:val="none" w:sz="0" w:space="0" w:color="auto"/>
        <w:right w:val="none" w:sz="0" w:space="0" w:color="auto"/>
      </w:divBdr>
    </w:div>
    <w:div w:id="292097878">
      <w:bodyDiv w:val="1"/>
      <w:marLeft w:val="0"/>
      <w:marRight w:val="0"/>
      <w:marTop w:val="0"/>
      <w:marBottom w:val="0"/>
      <w:divBdr>
        <w:top w:val="none" w:sz="0" w:space="0" w:color="auto"/>
        <w:left w:val="none" w:sz="0" w:space="0" w:color="auto"/>
        <w:bottom w:val="none" w:sz="0" w:space="0" w:color="auto"/>
        <w:right w:val="none" w:sz="0" w:space="0" w:color="auto"/>
      </w:divBdr>
    </w:div>
    <w:div w:id="332680589">
      <w:bodyDiv w:val="1"/>
      <w:marLeft w:val="0"/>
      <w:marRight w:val="0"/>
      <w:marTop w:val="0"/>
      <w:marBottom w:val="0"/>
      <w:divBdr>
        <w:top w:val="none" w:sz="0" w:space="0" w:color="auto"/>
        <w:left w:val="none" w:sz="0" w:space="0" w:color="auto"/>
        <w:bottom w:val="none" w:sz="0" w:space="0" w:color="auto"/>
        <w:right w:val="none" w:sz="0" w:space="0" w:color="auto"/>
      </w:divBdr>
    </w:div>
    <w:div w:id="334656004">
      <w:bodyDiv w:val="1"/>
      <w:marLeft w:val="0"/>
      <w:marRight w:val="0"/>
      <w:marTop w:val="0"/>
      <w:marBottom w:val="0"/>
      <w:divBdr>
        <w:top w:val="none" w:sz="0" w:space="0" w:color="auto"/>
        <w:left w:val="none" w:sz="0" w:space="0" w:color="auto"/>
        <w:bottom w:val="none" w:sz="0" w:space="0" w:color="auto"/>
        <w:right w:val="none" w:sz="0" w:space="0" w:color="auto"/>
      </w:divBdr>
    </w:div>
    <w:div w:id="417868642">
      <w:bodyDiv w:val="1"/>
      <w:marLeft w:val="0"/>
      <w:marRight w:val="0"/>
      <w:marTop w:val="0"/>
      <w:marBottom w:val="0"/>
      <w:divBdr>
        <w:top w:val="none" w:sz="0" w:space="0" w:color="auto"/>
        <w:left w:val="none" w:sz="0" w:space="0" w:color="auto"/>
        <w:bottom w:val="none" w:sz="0" w:space="0" w:color="auto"/>
        <w:right w:val="none" w:sz="0" w:space="0" w:color="auto"/>
      </w:divBdr>
    </w:div>
    <w:div w:id="461465675">
      <w:bodyDiv w:val="1"/>
      <w:marLeft w:val="0"/>
      <w:marRight w:val="0"/>
      <w:marTop w:val="0"/>
      <w:marBottom w:val="0"/>
      <w:divBdr>
        <w:top w:val="none" w:sz="0" w:space="0" w:color="auto"/>
        <w:left w:val="none" w:sz="0" w:space="0" w:color="auto"/>
        <w:bottom w:val="none" w:sz="0" w:space="0" w:color="auto"/>
        <w:right w:val="none" w:sz="0" w:space="0" w:color="auto"/>
      </w:divBdr>
    </w:div>
    <w:div w:id="520244347">
      <w:bodyDiv w:val="1"/>
      <w:marLeft w:val="0"/>
      <w:marRight w:val="0"/>
      <w:marTop w:val="0"/>
      <w:marBottom w:val="0"/>
      <w:divBdr>
        <w:top w:val="none" w:sz="0" w:space="0" w:color="auto"/>
        <w:left w:val="none" w:sz="0" w:space="0" w:color="auto"/>
        <w:bottom w:val="none" w:sz="0" w:space="0" w:color="auto"/>
        <w:right w:val="none" w:sz="0" w:space="0" w:color="auto"/>
      </w:divBdr>
    </w:div>
    <w:div w:id="553587175">
      <w:bodyDiv w:val="1"/>
      <w:marLeft w:val="0"/>
      <w:marRight w:val="0"/>
      <w:marTop w:val="0"/>
      <w:marBottom w:val="0"/>
      <w:divBdr>
        <w:top w:val="none" w:sz="0" w:space="0" w:color="auto"/>
        <w:left w:val="none" w:sz="0" w:space="0" w:color="auto"/>
        <w:bottom w:val="none" w:sz="0" w:space="0" w:color="auto"/>
        <w:right w:val="none" w:sz="0" w:space="0" w:color="auto"/>
      </w:divBdr>
    </w:div>
    <w:div w:id="568811950">
      <w:bodyDiv w:val="1"/>
      <w:marLeft w:val="0"/>
      <w:marRight w:val="0"/>
      <w:marTop w:val="0"/>
      <w:marBottom w:val="0"/>
      <w:divBdr>
        <w:top w:val="none" w:sz="0" w:space="0" w:color="auto"/>
        <w:left w:val="none" w:sz="0" w:space="0" w:color="auto"/>
        <w:bottom w:val="none" w:sz="0" w:space="0" w:color="auto"/>
        <w:right w:val="none" w:sz="0" w:space="0" w:color="auto"/>
      </w:divBdr>
    </w:div>
    <w:div w:id="610433484">
      <w:bodyDiv w:val="1"/>
      <w:marLeft w:val="0"/>
      <w:marRight w:val="0"/>
      <w:marTop w:val="0"/>
      <w:marBottom w:val="0"/>
      <w:divBdr>
        <w:top w:val="none" w:sz="0" w:space="0" w:color="auto"/>
        <w:left w:val="none" w:sz="0" w:space="0" w:color="auto"/>
        <w:bottom w:val="none" w:sz="0" w:space="0" w:color="auto"/>
        <w:right w:val="none" w:sz="0" w:space="0" w:color="auto"/>
      </w:divBdr>
    </w:div>
    <w:div w:id="877670005">
      <w:bodyDiv w:val="1"/>
      <w:marLeft w:val="0"/>
      <w:marRight w:val="0"/>
      <w:marTop w:val="0"/>
      <w:marBottom w:val="0"/>
      <w:divBdr>
        <w:top w:val="none" w:sz="0" w:space="0" w:color="auto"/>
        <w:left w:val="none" w:sz="0" w:space="0" w:color="auto"/>
        <w:bottom w:val="none" w:sz="0" w:space="0" w:color="auto"/>
        <w:right w:val="none" w:sz="0" w:space="0" w:color="auto"/>
      </w:divBdr>
    </w:div>
    <w:div w:id="906569613">
      <w:bodyDiv w:val="1"/>
      <w:marLeft w:val="0"/>
      <w:marRight w:val="0"/>
      <w:marTop w:val="0"/>
      <w:marBottom w:val="0"/>
      <w:divBdr>
        <w:top w:val="none" w:sz="0" w:space="0" w:color="auto"/>
        <w:left w:val="none" w:sz="0" w:space="0" w:color="auto"/>
        <w:bottom w:val="none" w:sz="0" w:space="0" w:color="auto"/>
        <w:right w:val="none" w:sz="0" w:space="0" w:color="auto"/>
      </w:divBdr>
    </w:div>
    <w:div w:id="928778052">
      <w:bodyDiv w:val="1"/>
      <w:marLeft w:val="0"/>
      <w:marRight w:val="0"/>
      <w:marTop w:val="0"/>
      <w:marBottom w:val="0"/>
      <w:divBdr>
        <w:top w:val="none" w:sz="0" w:space="0" w:color="auto"/>
        <w:left w:val="none" w:sz="0" w:space="0" w:color="auto"/>
        <w:bottom w:val="none" w:sz="0" w:space="0" w:color="auto"/>
        <w:right w:val="none" w:sz="0" w:space="0" w:color="auto"/>
      </w:divBdr>
    </w:div>
    <w:div w:id="962924570">
      <w:bodyDiv w:val="1"/>
      <w:marLeft w:val="0"/>
      <w:marRight w:val="0"/>
      <w:marTop w:val="0"/>
      <w:marBottom w:val="0"/>
      <w:divBdr>
        <w:top w:val="none" w:sz="0" w:space="0" w:color="auto"/>
        <w:left w:val="none" w:sz="0" w:space="0" w:color="auto"/>
        <w:bottom w:val="none" w:sz="0" w:space="0" w:color="auto"/>
        <w:right w:val="none" w:sz="0" w:space="0" w:color="auto"/>
      </w:divBdr>
    </w:div>
    <w:div w:id="1018460466">
      <w:bodyDiv w:val="1"/>
      <w:marLeft w:val="0"/>
      <w:marRight w:val="0"/>
      <w:marTop w:val="0"/>
      <w:marBottom w:val="0"/>
      <w:divBdr>
        <w:top w:val="none" w:sz="0" w:space="0" w:color="auto"/>
        <w:left w:val="none" w:sz="0" w:space="0" w:color="auto"/>
        <w:bottom w:val="none" w:sz="0" w:space="0" w:color="auto"/>
        <w:right w:val="none" w:sz="0" w:space="0" w:color="auto"/>
      </w:divBdr>
    </w:div>
    <w:div w:id="1095901422">
      <w:bodyDiv w:val="1"/>
      <w:marLeft w:val="0"/>
      <w:marRight w:val="0"/>
      <w:marTop w:val="0"/>
      <w:marBottom w:val="0"/>
      <w:divBdr>
        <w:top w:val="none" w:sz="0" w:space="0" w:color="auto"/>
        <w:left w:val="none" w:sz="0" w:space="0" w:color="auto"/>
        <w:bottom w:val="none" w:sz="0" w:space="0" w:color="auto"/>
        <w:right w:val="none" w:sz="0" w:space="0" w:color="auto"/>
      </w:divBdr>
    </w:div>
    <w:div w:id="1603566918">
      <w:bodyDiv w:val="1"/>
      <w:marLeft w:val="0"/>
      <w:marRight w:val="0"/>
      <w:marTop w:val="0"/>
      <w:marBottom w:val="0"/>
      <w:divBdr>
        <w:top w:val="none" w:sz="0" w:space="0" w:color="auto"/>
        <w:left w:val="none" w:sz="0" w:space="0" w:color="auto"/>
        <w:bottom w:val="none" w:sz="0" w:space="0" w:color="auto"/>
        <w:right w:val="none" w:sz="0" w:space="0" w:color="auto"/>
      </w:divBdr>
    </w:div>
    <w:div w:id="1678194445">
      <w:bodyDiv w:val="1"/>
      <w:marLeft w:val="0"/>
      <w:marRight w:val="0"/>
      <w:marTop w:val="0"/>
      <w:marBottom w:val="0"/>
      <w:divBdr>
        <w:top w:val="none" w:sz="0" w:space="0" w:color="auto"/>
        <w:left w:val="none" w:sz="0" w:space="0" w:color="auto"/>
        <w:bottom w:val="none" w:sz="0" w:space="0" w:color="auto"/>
        <w:right w:val="none" w:sz="0" w:space="0" w:color="auto"/>
      </w:divBdr>
    </w:div>
    <w:div w:id="1726292984">
      <w:bodyDiv w:val="1"/>
      <w:marLeft w:val="0"/>
      <w:marRight w:val="0"/>
      <w:marTop w:val="0"/>
      <w:marBottom w:val="0"/>
      <w:divBdr>
        <w:top w:val="none" w:sz="0" w:space="0" w:color="auto"/>
        <w:left w:val="none" w:sz="0" w:space="0" w:color="auto"/>
        <w:bottom w:val="none" w:sz="0" w:space="0" w:color="auto"/>
        <w:right w:val="none" w:sz="0" w:space="0" w:color="auto"/>
      </w:divBdr>
    </w:div>
    <w:div w:id="2015379520">
      <w:bodyDiv w:val="1"/>
      <w:marLeft w:val="0"/>
      <w:marRight w:val="0"/>
      <w:marTop w:val="0"/>
      <w:marBottom w:val="0"/>
      <w:divBdr>
        <w:top w:val="none" w:sz="0" w:space="0" w:color="auto"/>
        <w:left w:val="none" w:sz="0" w:space="0" w:color="auto"/>
        <w:bottom w:val="none" w:sz="0" w:space="0" w:color="auto"/>
        <w:right w:val="none" w:sz="0" w:space="0" w:color="auto"/>
      </w:divBdr>
    </w:div>
    <w:div w:id="212549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17F9D-C6D3-4159-B584-F139ABC4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13240</Words>
  <Characters>75469</Characters>
  <Application>Microsoft Office Word</Application>
  <DocSecurity>0</DocSecurity>
  <Lines>628</Lines>
  <Paragraphs>177</Paragraphs>
  <ScaleCrop>false</ScaleCrop>
  <Company>中天</Company>
  <LinksUpToDate>false</LinksUpToDate>
  <CharactersWithSpaces>88532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acer</cp:lastModifiedBy>
  <cp:revision>177</cp:revision>
  <cp:lastPrinted>2019-08-22T03:12:00Z</cp:lastPrinted>
  <dcterms:created xsi:type="dcterms:W3CDTF">2018-03-01T06:08:00Z</dcterms:created>
  <dcterms:modified xsi:type="dcterms:W3CDTF">2019-10-24T02:20:00Z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